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A3" w:rsidRDefault="00734CA3" w:rsidP="00734CA3">
      <w:pPr>
        <w:pStyle w:val="NormalWeb"/>
        <w:shd w:val="clear" w:color="auto" w:fill="FFFFFF"/>
        <w:spacing w:before="0" w:beforeAutospacing="0" w:after="375" w:afterAutospacing="0" w:line="330" w:lineRule="atLeast"/>
        <w:ind w:firstLine="284"/>
        <w:jc w:val="right"/>
        <w:rPr>
          <w:rStyle w:val="Textoennegrita"/>
          <w:rFonts w:ascii="Bookman Old Style" w:hAnsi="Bookman Old Style"/>
          <w:b w:val="0"/>
          <w:sz w:val="22"/>
          <w:szCs w:val="20"/>
        </w:rPr>
      </w:pPr>
      <w:bookmarkStart w:id="0" w:name="_GoBack"/>
      <w:bookmarkEnd w:id="0"/>
      <w:r w:rsidRPr="00734CA3">
        <w:rPr>
          <w:rStyle w:val="Textoennegrita"/>
          <w:rFonts w:ascii="Bookman Old Style" w:hAnsi="Bookman Old Style"/>
          <w:b w:val="0"/>
          <w:sz w:val="22"/>
          <w:szCs w:val="20"/>
        </w:rPr>
        <w:t>General Roca, jueves 18 de Mayo de 2.017</w:t>
      </w:r>
    </w:p>
    <w:p w:rsidR="00734CA3" w:rsidRPr="00734CA3" w:rsidRDefault="00734CA3" w:rsidP="00734CA3">
      <w:pPr>
        <w:pStyle w:val="NormalWeb"/>
        <w:shd w:val="clear" w:color="auto" w:fill="FFFFFF"/>
        <w:spacing w:before="0" w:beforeAutospacing="0" w:after="375" w:afterAutospacing="0" w:line="330" w:lineRule="atLeast"/>
        <w:ind w:firstLine="284"/>
        <w:jc w:val="right"/>
        <w:rPr>
          <w:rStyle w:val="Textoennegrita"/>
          <w:rFonts w:ascii="Bookman Old Style" w:hAnsi="Bookman Old Style"/>
          <w:b w:val="0"/>
          <w:sz w:val="22"/>
          <w:szCs w:val="20"/>
        </w:rPr>
      </w:pPr>
    </w:p>
    <w:p w:rsidR="00734CA3" w:rsidRPr="00734CA3" w:rsidRDefault="00734CA3" w:rsidP="00734CA3">
      <w:pPr>
        <w:spacing w:line="360" w:lineRule="auto"/>
        <w:rPr>
          <w:rStyle w:val="Textoennegrita"/>
          <w:rFonts w:ascii="Bookman Old Style" w:hAnsi="Bookman Old Style"/>
          <w:b w:val="0"/>
          <w:sz w:val="28"/>
          <w:szCs w:val="20"/>
        </w:rPr>
      </w:pPr>
      <w:r>
        <w:rPr>
          <w:rStyle w:val="Textoennegrita"/>
          <w:rFonts w:ascii="Bookman Old Style" w:hAnsi="Bookman Old Style"/>
          <w:b w:val="0"/>
          <w:sz w:val="28"/>
          <w:szCs w:val="20"/>
        </w:rPr>
        <w:t xml:space="preserve">CONCEJO DELIBERANTE </w:t>
      </w:r>
    </w:p>
    <w:p w:rsidR="00734CA3" w:rsidRPr="00734CA3" w:rsidRDefault="00734CA3" w:rsidP="00734CA3">
      <w:pPr>
        <w:spacing w:line="360" w:lineRule="auto"/>
        <w:rPr>
          <w:rStyle w:val="Textoennegrita"/>
          <w:rFonts w:ascii="Bookman Old Style" w:hAnsi="Bookman Old Style"/>
          <w:b w:val="0"/>
          <w:sz w:val="24"/>
          <w:szCs w:val="20"/>
        </w:rPr>
      </w:pPr>
      <w:r>
        <w:rPr>
          <w:rStyle w:val="Textoennegrita"/>
          <w:rFonts w:ascii="Bookman Old Style" w:hAnsi="Bookman Old Style"/>
          <w:b w:val="0"/>
          <w:sz w:val="24"/>
          <w:szCs w:val="20"/>
        </w:rPr>
        <w:t xml:space="preserve">  </w:t>
      </w:r>
      <w:r w:rsidRPr="00734CA3">
        <w:rPr>
          <w:rStyle w:val="Textoennegrita"/>
          <w:rFonts w:ascii="Bookman Old Style" w:hAnsi="Bookman Old Style"/>
          <w:b w:val="0"/>
          <w:sz w:val="24"/>
          <w:szCs w:val="20"/>
        </w:rPr>
        <w:t>Municipalidad de Gral. Roca</w:t>
      </w:r>
    </w:p>
    <w:p w:rsidR="00734CA3" w:rsidRPr="00734CA3" w:rsidRDefault="00734CA3" w:rsidP="00734CA3">
      <w:pPr>
        <w:spacing w:line="360" w:lineRule="auto"/>
        <w:rPr>
          <w:rStyle w:val="Textoennegrita"/>
          <w:rFonts w:ascii="Bookman Old Style" w:hAnsi="Bookman Old Style"/>
          <w:b w:val="0"/>
          <w:sz w:val="24"/>
          <w:szCs w:val="20"/>
        </w:rPr>
      </w:pPr>
      <w:r>
        <w:rPr>
          <w:rStyle w:val="Textoennegrita"/>
          <w:rFonts w:ascii="Bookman Old Style" w:hAnsi="Bookman Old Style"/>
          <w:b w:val="0"/>
          <w:sz w:val="24"/>
          <w:szCs w:val="20"/>
        </w:rPr>
        <w:t xml:space="preserve">   </w:t>
      </w:r>
      <w:r w:rsidRPr="00734CA3">
        <w:rPr>
          <w:rStyle w:val="Textoennegrita"/>
          <w:rFonts w:ascii="Bookman Old Style" w:hAnsi="Bookman Old Style"/>
          <w:b w:val="0"/>
          <w:sz w:val="24"/>
          <w:szCs w:val="20"/>
        </w:rPr>
        <w:t>A los Sres.</w:t>
      </w:r>
      <w:r>
        <w:rPr>
          <w:rStyle w:val="Textoennegrita"/>
          <w:rFonts w:ascii="Bookman Old Style" w:hAnsi="Bookman Old Style"/>
          <w:b w:val="0"/>
          <w:sz w:val="24"/>
          <w:szCs w:val="20"/>
        </w:rPr>
        <w:t xml:space="preserve"> /as</w:t>
      </w:r>
      <w:r w:rsidRPr="00734CA3">
        <w:rPr>
          <w:rStyle w:val="Textoennegrita"/>
          <w:rFonts w:ascii="Bookman Old Style" w:hAnsi="Bookman Old Style"/>
          <w:b w:val="0"/>
          <w:sz w:val="24"/>
          <w:szCs w:val="20"/>
        </w:rPr>
        <w:t>. Concejales</w:t>
      </w:r>
      <w:r>
        <w:rPr>
          <w:rStyle w:val="Textoennegrita"/>
          <w:rFonts w:ascii="Bookman Old Style" w:hAnsi="Bookman Old Style"/>
          <w:b w:val="0"/>
          <w:sz w:val="24"/>
          <w:szCs w:val="20"/>
        </w:rPr>
        <w:t>.</w:t>
      </w:r>
    </w:p>
    <w:p w:rsidR="00734CA3" w:rsidRPr="00734CA3" w:rsidRDefault="00734CA3" w:rsidP="00734CA3">
      <w:pPr>
        <w:spacing w:line="360" w:lineRule="auto"/>
        <w:rPr>
          <w:rStyle w:val="Textoennegrita"/>
          <w:rFonts w:ascii="Bookman Old Style" w:hAnsi="Bookman Old Style"/>
          <w:b w:val="0"/>
          <w:sz w:val="28"/>
          <w:szCs w:val="20"/>
        </w:rPr>
      </w:pPr>
    </w:p>
    <w:p w:rsidR="00734CA3" w:rsidRPr="00734CA3" w:rsidRDefault="00734CA3" w:rsidP="00734CA3">
      <w:pPr>
        <w:pStyle w:val="NormalWeb"/>
        <w:shd w:val="clear" w:color="auto" w:fill="FFFFFF"/>
        <w:spacing w:before="0" w:beforeAutospacing="0" w:after="375" w:afterAutospacing="0" w:line="330" w:lineRule="atLeast"/>
        <w:ind w:firstLine="284"/>
        <w:jc w:val="center"/>
        <w:rPr>
          <w:rFonts w:ascii="Bookman Old Style" w:hAnsi="Bookman Old Style"/>
          <w:szCs w:val="20"/>
        </w:rPr>
      </w:pPr>
      <w:r w:rsidRPr="00734CA3">
        <w:rPr>
          <w:rStyle w:val="Textoennegrita"/>
          <w:rFonts w:ascii="Bookman Old Style" w:hAnsi="Bookman Old Style"/>
          <w:szCs w:val="20"/>
        </w:rPr>
        <w:t>PROYECTO DE ORDENANZA</w:t>
      </w:r>
      <w:r w:rsidR="00644C78">
        <w:rPr>
          <w:rStyle w:val="Textoennegrita"/>
          <w:rFonts w:ascii="Bookman Old Style" w:hAnsi="Bookman Old Style"/>
          <w:szCs w:val="20"/>
        </w:rPr>
        <w:t xml:space="preserve"> </w:t>
      </w:r>
      <w:proofErr w:type="spellStart"/>
      <w:r w:rsidR="00644C78">
        <w:rPr>
          <w:rStyle w:val="Textoennegrita"/>
          <w:rFonts w:ascii="Bookman Old Style" w:hAnsi="Bookman Old Style"/>
          <w:szCs w:val="20"/>
        </w:rPr>
        <w:t>N</w:t>
      </w:r>
      <w:r w:rsidR="006F493F">
        <w:rPr>
          <w:rStyle w:val="Textoennegrita"/>
          <w:rFonts w:ascii="Bookman Old Style" w:hAnsi="Bookman Old Style"/>
          <w:szCs w:val="20"/>
        </w:rPr>
        <w:t>º</w:t>
      </w:r>
      <w:proofErr w:type="spellEnd"/>
      <w:r w:rsidR="00644C78">
        <w:rPr>
          <w:rStyle w:val="Textoennegrita"/>
          <w:rFonts w:ascii="Bookman Old Style" w:hAnsi="Bookman Old Style"/>
          <w:szCs w:val="20"/>
        </w:rPr>
        <w:t xml:space="preserve">: </w:t>
      </w:r>
      <w:proofErr w:type="spellStart"/>
      <w:r w:rsidR="00644C78">
        <w:rPr>
          <w:rStyle w:val="Textoennegrita"/>
          <w:rFonts w:ascii="Bookman Old Style" w:hAnsi="Bookman Old Style"/>
          <w:szCs w:val="20"/>
        </w:rPr>
        <w:t>xxxxx</w:t>
      </w:r>
      <w:proofErr w:type="spellEnd"/>
    </w:p>
    <w:p w:rsidR="00875473" w:rsidRDefault="00F935AA" w:rsidP="00875473">
      <w:pPr>
        <w:spacing w:line="360" w:lineRule="auto"/>
        <w:ind w:firstLine="284"/>
        <w:jc w:val="both"/>
        <w:rPr>
          <w:rFonts w:ascii="Bookman Old Style" w:hAnsi="Bookman Old Style"/>
          <w:sz w:val="24"/>
        </w:rPr>
      </w:pPr>
      <w:r w:rsidRPr="00F935AA">
        <w:rPr>
          <w:rFonts w:ascii="Bookman Old Style" w:hAnsi="Bookman Old Style"/>
          <w:b/>
          <w:sz w:val="24"/>
        </w:rPr>
        <w:t>Visto</w:t>
      </w:r>
      <w:r>
        <w:rPr>
          <w:rFonts w:ascii="Bookman Old Style" w:hAnsi="Bookman Old Style"/>
          <w:sz w:val="24"/>
        </w:rPr>
        <w:t>:</w:t>
      </w:r>
    </w:p>
    <w:p w:rsidR="00D07397" w:rsidRPr="00B779F2" w:rsidRDefault="001A1952" w:rsidP="00875473">
      <w:pPr>
        <w:spacing w:line="360" w:lineRule="auto"/>
        <w:ind w:firstLine="284"/>
        <w:jc w:val="both"/>
        <w:rPr>
          <w:rFonts w:ascii="Bookman Old Style" w:hAnsi="Bookman Old Style"/>
          <w:sz w:val="24"/>
        </w:rPr>
      </w:pPr>
      <w:r>
        <w:rPr>
          <w:rFonts w:ascii="Bookman Old Style" w:hAnsi="Bookman Old Style"/>
          <w:sz w:val="24"/>
        </w:rPr>
        <w:t>Que para satisfacer la demanda de energética, el gobierno nacional ha promocionado e incentivado la extracción de combustibles fósiles por métodos no convencionales (</w:t>
      </w:r>
      <w:proofErr w:type="spellStart"/>
      <w:r>
        <w:rPr>
          <w:rFonts w:ascii="Bookman Old Style" w:hAnsi="Bookman Old Style"/>
          <w:sz w:val="24"/>
        </w:rPr>
        <w:t>Fracking</w:t>
      </w:r>
      <w:proofErr w:type="spellEnd"/>
      <w:r>
        <w:rPr>
          <w:rFonts w:ascii="Bookman Old Style" w:hAnsi="Bookman Old Style"/>
          <w:sz w:val="24"/>
        </w:rPr>
        <w:t xml:space="preserve"> o Fractura </w:t>
      </w:r>
      <w:proofErr w:type="spellStart"/>
      <w:r>
        <w:rPr>
          <w:rFonts w:ascii="Bookman Old Style" w:hAnsi="Bookman Old Style"/>
          <w:sz w:val="24"/>
        </w:rPr>
        <w:t>Hidraulica</w:t>
      </w:r>
      <w:proofErr w:type="spellEnd"/>
      <w:r>
        <w:rPr>
          <w:rFonts w:ascii="Bookman Old Style" w:hAnsi="Bookman Old Style"/>
          <w:sz w:val="24"/>
        </w:rPr>
        <w:t xml:space="preserve">) </w:t>
      </w:r>
      <w:r w:rsidR="00D07397">
        <w:rPr>
          <w:rFonts w:ascii="Bookman Old Style" w:hAnsi="Bookman Old Style"/>
          <w:sz w:val="24"/>
        </w:rPr>
        <w:t xml:space="preserve">siendo </w:t>
      </w:r>
      <w:r>
        <w:rPr>
          <w:rFonts w:ascii="Bookman Old Style" w:hAnsi="Bookman Old Style"/>
          <w:sz w:val="24"/>
        </w:rPr>
        <w:t>nuestra región (alto valle de Rio Negro)</w:t>
      </w:r>
      <w:r w:rsidR="00D07397">
        <w:rPr>
          <w:rFonts w:ascii="Bookman Old Style" w:hAnsi="Bookman Old Style"/>
          <w:sz w:val="24"/>
        </w:rPr>
        <w:t xml:space="preserve"> la zona </w:t>
      </w:r>
      <w:r w:rsidR="00E12F09">
        <w:rPr>
          <w:rFonts w:ascii="Bookman Old Style" w:hAnsi="Bookman Old Style"/>
          <w:sz w:val="24"/>
        </w:rPr>
        <w:t xml:space="preserve">elegida para llevar adelante el desarrollo de </w:t>
      </w:r>
      <w:r w:rsidR="00D07397">
        <w:rPr>
          <w:rFonts w:ascii="Bookman Old Style" w:hAnsi="Bookman Old Style"/>
          <w:sz w:val="24"/>
        </w:rPr>
        <w:t xml:space="preserve"> la técnica</w:t>
      </w:r>
      <w:r w:rsidR="00E12F09">
        <w:rPr>
          <w:rFonts w:ascii="Bookman Old Style" w:hAnsi="Bookman Old Style"/>
          <w:sz w:val="24"/>
        </w:rPr>
        <w:t xml:space="preserve">, </w:t>
      </w:r>
      <w:r w:rsidR="00D07397">
        <w:rPr>
          <w:rFonts w:ascii="Bookman Old Style" w:hAnsi="Bookman Old Style"/>
          <w:sz w:val="24"/>
        </w:rPr>
        <w:t xml:space="preserve"> </w:t>
      </w:r>
      <w:r w:rsidR="00E12F09">
        <w:rPr>
          <w:rFonts w:ascii="Bookman Old Style" w:hAnsi="Bookman Old Style"/>
          <w:sz w:val="24"/>
        </w:rPr>
        <w:t>que comenzó hace algunos años, 201</w:t>
      </w:r>
      <w:r w:rsidR="00A9128B">
        <w:rPr>
          <w:rFonts w:ascii="Bookman Old Style" w:hAnsi="Bookman Old Style"/>
          <w:sz w:val="24"/>
        </w:rPr>
        <w:t>3</w:t>
      </w:r>
      <w:r w:rsidR="00E12F09">
        <w:rPr>
          <w:rFonts w:ascii="Bookman Old Style" w:hAnsi="Bookman Old Style"/>
          <w:sz w:val="24"/>
        </w:rPr>
        <w:t xml:space="preserve"> y  donde desde su desembarco,</w:t>
      </w:r>
      <w:r w:rsidR="00D07397">
        <w:rPr>
          <w:rFonts w:ascii="Bookman Old Style" w:hAnsi="Bookman Old Style"/>
          <w:sz w:val="24"/>
        </w:rPr>
        <w:t xml:space="preserve"> </w:t>
      </w:r>
      <w:r w:rsidR="00E12F09">
        <w:rPr>
          <w:rFonts w:ascii="Bookman Old Style" w:hAnsi="Bookman Old Style"/>
          <w:sz w:val="24"/>
        </w:rPr>
        <w:t>se han puesto de manifiesto</w:t>
      </w:r>
      <w:r w:rsidR="00D07397">
        <w:rPr>
          <w:rFonts w:ascii="Bookman Old Style" w:hAnsi="Bookman Old Style"/>
          <w:sz w:val="24"/>
        </w:rPr>
        <w:t xml:space="preserve"> los impactos negativos de la misma</w:t>
      </w:r>
      <w:r w:rsidR="00E12F09">
        <w:rPr>
          <w:rFonts w:ascii="Bookman Old Style" w:hAnsi="Bookman Old Style"/>
          <w:sz w:val="24"/>
        </w:rPr>
        <w:t>,  como</w:t>
      </w:r>
      <w:r w:rsidR="00D07397">
        <w:rPr>
          <w:rFonts w:ascii="Bookman Old Style" w:hAnsi="Bookman Old Style"/>
          <w:sz w:val="24"/>
        </w:rPr>
        <w:t xml:space="preserve"> la afectación </w:t>
      </w:r>
      <w:r w:rsidR="00B779F2">
        <w:rPr>
          <w:rFonts w:ascii="Bookman Old Style" w:hAnsi="Bookman Old Style"/>
          <w:sz w:val="24"/>
        </w:rPr>
        <w:t>a la salud, al ambiente,</w:t>
      </w:r>
      <w:r w:rsidR="00D07397">
        <w:rPr>
          <w:rFonts w:ascii="Bookman Old Style" w:hAnsi="Bookman Old Style"/>
          <w:sz w:val="24"/>
        </w:rPr>
        <w:t xml:space="preserve"> la contaminación del Rio Negro y al desplazamiento de la matriz productiva regional, </w:t>
      </w:r>
      <w:r w:rsidR="00E12F09">
        <w:rPr>
          <w:rFonts w:ascii="Bookman Old Style" w:hAnsi="Bookman Old Style"/>
          <w:sz w:val="24"/>
        </w:rPr>
        <w:t xml:space="preserve"> </w:t>
      </w:r>
      <w:r w:rsidR="00D07397">
        <w:rPr>
          <w:rFonts w:ascii="Bookman Old Style" w:hAnsi="Bookman Old Style"/>
          <w:sz w:val="24"/>
        </w:rPr>
        <w:t>donde se muestra un claro avance sobre las chacras y tierras productivas</w:t>
      </w:r>
      <w:r w:rsidR="00E12F09">
        <w:rPr>
          <w:rFonts w:ascii="Bookman Old Style" w:hAnsi="Bookman Old Style"/>
          <w:sz w:val="24"/>
        </w:rPr>
        <w:t xml:space="preserve">, </w:t>
      </w:r>
      <w:r w:rsidR="00D07397">
        <w:rPr>
          <w:rFonts w:ascii="Bookman Old Style" w:hAnsi="Bookman Old Style"/>
          <w:sz w:val="24"/>
        </w:rPr>
        <w:t xml:space="preserve"> con una perdida estimada en aprox.  de 100 hectáreas (Rodil </w:t>
      </w:r>
      <w:r w:rsidR="00E12F09">
        <w:rPr>
          <w:rFonts w:ascii="Bookman Old Style" w:hAnsi="Bookman Old Style"/>
          <w:sz w:val="24"/>
        </w:rPr>
        <w:t>2016).</w:t>
      </w:r>
      <w:r w:rsidR="00E12F09">
        <w:rPr>
          <w:rFonts w:ascii="Bookman Old Style" w:hAnsi="Bookman Old Style"/>
          <w:sz w:val="24"/>
        </w:rPr>
        <w:br/>
        <w:t xml:space="preserve">Por </w:t>
      </w:r>
      <w:r w:rsidR="00B779F2">
        <w:rPr>
          <w:rFonts w:ascii="Bookman Old Style" w:hAnsi="Bookman Old Style"/>
          <w:sz w:val="24"/>
        </w:rPr>
        <w:t xml:space="preserve">todo ello, </w:t>
      </w:r>
      <w:r w:rsidR="00E12F09">
        <w:rPr>
          <w:rFonts w:ascii="Bookman Old Style" w:hAnsi="Bookman Old Style"/>
          <w:sz w:val="24"/>
        </w:rPr>
        <w:t xml:space="preserve">este proyecto tiene por fin </w:t>
      </w:r>
      <w:r w:rsidR="00E12F09" w:rsidRPr="00B779F2">
        <w:rPr>
          <w:rFonts w:ascii="Bookman Old Style" w:hAnsi="Bookman Old Style"/>
          <w:i/>
          <w:iCs/>
          <w:sz w:val="24"/>
        </w:rPr>
        <w:t>acompañar al pueblo rionegrino</w:t>
      </w:r>
      <w:r w:rsidR="00B779F2">
        <w:rPr>
          <w:rFonts w:ascii="Bookman Old Style" w:hAnsi="Bookman Old Style"/>
          <w:i/>
          <w:iCs/>
          <w:sz w:val="24"/>
        </w:rPr>
        <w:t xml:space="preserve"> y a los habitantes de General Roca, </w:t>
      </w:r>
      <w:r w:rsidR="00E12F09" w:rsidRPr="00B779F2">
        <w:rPr>
          <w:rFonts w:ascii="Bookman Old Style" w:hAnsi="Bookman Old Style"/>
          <w:i/>
          <w:iCs/>
          <w:sz w:val="24"/>
        </w:rPr>
        <w:t xml:space="preserve">en vistas a proteger no sólo el ambiente sino también </w:t>
      </w:r>
      <w:r w:rsidR="00B779F2">
        <w:rPr>
          <w:rFonts w:ascii="Bookman Old Style" w:hAnsi="Bookman Old Style"/>
          <w:i/>
          <w:iCs/>
          <w:sz w:val="24"/>
        </w:rPr>
        <w:t xml:space="preserve">las </w:t>
      </w:r>
      <w:r w:rsidR="00E12F09" w:rsidRPr="00B779F2">
        <w:rPr>
          <w:rFonts w:ascii="Bookman Old Style" w:hAnsi="Bookman Old Style"/>
          <w:i/>
          <w:iCs/>
          <w:sz w:val="24"/>
        </w:rPr>
        <w:t xml:space="preserve">economías regionales tradicionales, </w:t>
      </w:r>
      <w:proofErr w:type="gramStart"/>
      <w:r w:rsidR="00E12F09" w:rsidRPr="00B779F2">
        <w:rPr>
          <w:rFonts w:ascii="Bookman Old Style" w:hAnsi="Bookman Old Style"/>
          <w:i/>
          <w:iCs/>
          <w:sz w:val="24"/>
        </w:rPr>
        <w:t>como  respuesta</w:t>
      </w:r>
      <w:proofErr w:type="gramEnd"/>
      <w:r w:rsidR="00E12F09" w:rsidRPr="00B779F2">
        <w:rPr>
          <w:rFonts w:ascii="Bookman Old Style" w:hAnsi="Bookman Old Style"/>
          <w:i/>
          <w:iCs/>
          <w:sz w:val="24"/>
        </w:rPr>
        <w:t xml:space="preserve"> mancomunada entre municipios vecinos </w:t>
      </w:r>
      <w:r w:rsidR="00B779F2" w:rsidRPr="00B779F2">
        <w:rPr>
          <w:rFonts w:ascii="Bookman Old Style" w:hAnsi="Bookman Old Style"/>
          <w:i/>
          <w:iCs/>
          <w:sz w:val="24"/>
        </w:rPr>
        <w:t>por</w:t>
      </w:r>
      <w:r w:rsidR="00E12F09" w:rsidRPr="00B779F2">
        <w:rPr>
          <w:rFonts w:ascii="Bookman Old Style" w:hAnsi="Bookman Old Style"/>
          <w:i/>
          <w:iCs/>
          <w:sz w:val="24"/>
        </w:rPr>
        <w:t xml:space="preserve"> la justicia ambiental, por el desarrollo económico genuino y en contr</w:t>
      </w:r>
      <w:r w:rsidR="00320086">
        <w:rPr>
          <w:rFonts w:ascii="Bookman Old Style" w:hAnsi="Bookman Old Style"/>
          <w:i/>
          <w:iCs/>
          <w:sz w:val="24"/>
        </w:rPr>
        <w:t>a de la contaminación y</w:t>
      </w:r>
      <w:r w:rsidR="00B779F2">
        <w:rPr>
          <w:rFonts w:ascii="Bookman Old Style" w:hAnsi="Bookman Old Style"/>
          <w:i/>
          <w:iCs/>
          <w:sz w:val="24"/>
        </w:rPr>
        <w:t xml:space="preserve"> el saqueo. </w:t>
      </w:r>
    </w:p>
    <w:p w:rsidR="00F935AA" w:rsidRDefault="00F935AA" w:rsidP="00F935AA">
      <w:pPr>
        <w:spacing w:line="360" w:lineRule="auto"/>
        <w:rPr>
          <w:rFonts w:ascii="Bookman Old Style" w:hAnsi="Bookman Old Style"/>
          <w:b/>
          <w:sz w:val="24"/>
          <w:szCs w:val="24"/>
        </w:rPr>
      </w:pPr>
    </w:p>
    <w:p w:rsidR="00F935AA" w:rsidRPr="00F935AA" w:rsidRDefault="00F935AA" w:rsidP="00F935AA">
      <w:pPr>
        <w:spacing w:line="360" w:lineRule="auto"/>
        <w:rPr>
          <w:rFonts w:ascii="Bookman Old Style" w:hAnsi="Bookman Old Style"/>
          <w:b/>
          <w:sz w:val="24"/>
          <w:szCs w:val="24"/>
        </w:rPr>
      </w:pPr>
      <w:r w:rsidRPr="00F935AA">
        <w:rPr>
          <w:rFonts w:ascii="Bookman Old Style" w:hAnsi="Bookman Old Style"/>
          <w:b/>
          <w:sz w:val="24"/>
          <w:szCs w:val="24"/>
        </w:rPr>
        <w:t>LA TÉCNICA</w:t>
      </w:r>
    </w:p>
    <w:p w:rsidR="00F935AA" w:rsidRPr="00F935AA" w:rsidRDefault="00F935AA" w:rsidP="00F935AA">
      <w:pPr>
        <w:spacing w:line="360" w:lineRule="auto"/>
        <w:ind w:firstLine="284"/>
        <w:jc w:val="both"/>
        <w:rPr>
          <w:rFonts w:ascii="Bookman Old Style" w:hAnsi="Bookman Old Style"/>
          <w:sz w:val="24"/>
          <w:szCs w:val="24"/>
        </w:rPr>
      </w:pPr>
      <w:r w:rsidRPr="00F935AA">
        <w:rPr>
          <w:rFonts w:ascii="Bookman Old Style" w:hAnsi="Bookman Old Style"/>
          <w:sz w:val="24"/>
          <w:szCs w:val="24"/>
        </w:rPr>
        <w:t xml:space="preserve">En los yacimientos no convencionales el hidrocarburo se encuentra acumulado en los poros y fisuras de ciertas rocas sedimentarias </w:t>
      </w:r>
      <w:r w:rsidRPr="00F935AA">
        <w:rPr>
          <w:rFonts w:ascii="Bookman Old Style" w:hAnsi="Bookman Old Style"/>
          <w:sz w:val="24"/>
          <w:szCs w:val="24"/>
        </w:rPr>
        <w:lastRenderedPageBreak/>
        <w:t xml:space="preserve">estratificadas de grano fino o muy fino, arcillosas o pizarra, tienen poros muy pequeños y son de baja permeabilidad por lo que impiden la liberación del combustible. Para obtenerlo, se practica una perforación vertical y luego continúa en forma horizontal y profunda hasta alcanzar el objetivo (la formación geológica elegida), horadando la roca e inyectándole millones de litros de agua con un cóctel químico y un sólido, como la arena, para que mantenga abierta la fractura y permita el escape de los hidrocarburos. Eso es el </w:t>
      </w:r>
      <w:proofErr w:type="spellStart"/>
      <w:r w:rsidRPr="00F935AA">
        <w:rPr>
          <w:rFonts w:ascii="Bookman Old Style" w:hAnsi="Bookman Old Style"/>
          <w:sz w:val="24"/>
          <w:szCs w:val="24"/>
        </w:rPr>
        <w:t>fracking</w:t>
      </w:r>
      <w:proofErr w:type="spellEnd"/>
      <w:r w:rsidRPr="00F935AA">
        <w:rPr>
          <w:rFonts w:ascii="Bookman Old Style" w:hAnsi="Bookman Old Style"/>
          <w:sz w:val="24"/>
          <w:szCs w:val="24"/>
        </w:rPr>
        <w:t xml:space="preserve"> o fractura hidráulica.</w:t>
      </w:r>
    </w:p>
    <w:p w:rsidR="00F935AA" w:rsidRPr="00F935AA" w:rsidRDefault="00F935AA" w:rsidP="00F935AA">
      <w:pPr>
        <w:spacing w:line="360" w:lineRule="auto"/>
        <w:ind w:firstLine="284"/>
        <w:jc w:val="both"/>
        <w:rPr>
          <w:rFonts w:ascii="Bookman Old Style" w:hAnsi="Bookman Old Style"/>
          <w:sz w:val="24"/>
          <w:szCs w:val="24"/>
        </w:rPr>
      </w:pPr>
      <w:r w:rsidRPr="00F935AA">
        <w:rPr>
          <w:rFonts w:ascii="Bookman Old Style" w:hAnsi="Bookman Old Style"/>
          <w:sz w:val="24"/>
          <w:szCs w:val="24"/>
        </w:rPr>
        <w:t>Esta forma de extracción tiene diferencias con las explotaciones convencionales respecto de la cantidad y la distribución de pozos sobre los yacimientos. Una de las formas más comunes consiste en la construcción de una “plataforma de pozos” (</w:t>
      </w:r>
      <w:proofErr w:type="spellStart"/>
      <w:r w:rsidRPr="00F935AA">
        <w:rPr>
          <w:rFonts w:ascii="Bookman Old Style" w:hAnsi="Bookman Old Style"/>
          <w:i/>
          <w:sz w:val="24"/>
          <w:szCs w:val="24"/>
        </w:rPr>
        <w:t>well</w:t>
      </w:r>
      <w:proofErr w:type="spellEnd"/>
      <w:r w:rsidRPr="00F935AA">
        <w:rPr>
          <w:rFonts w:ascii="Bookman Old Style" w:hAnsi="Bookman Old Style"/>
          <w:i/>
          <w:sz w:val="24"/>
          <w:szCs w:val="24"/>
        </w:rPr>
        <w:t xml:space="preserve"> </w:t>
      </w:r>
      <w:proofErr w:type="spellStart"/>
      <w:r w:rsidRPr="00F935AA">
        <w:rPr>
          <w:rFonts w:ascii="Bookman Old Style" w:hAnsi="Bookman Old Style"/>
          <w:i/>
          <w:sz w:val="24"/>
          <w:szCs w:val="24"/>
        </w:rPr>
        <w:t>pad</w:t>
      </w:r>
      <w:proofErr w:type="spellEnd"/>
      <w:r w:rsidRPr="00F935AA">
        <w:rPr>
          <w:rFonts w:ascii="Bookman Old Style" w:hAnsi="Bookman Old Style"/>
          <w:sz w:val="24"/>
          <w:szCs w:val="24"/>
        </w:rPr>
        <w:t xml:space="preserve"> en inglés), en el centro de lo que, por lo general, son formaciones de entre 6 y 8 pozos horizontales perforados secuencialmente en hileras paralelas. Por ejemplo en un único pozo, perforado verticalmente hasta 2 km, y horizontalmente hasta 1,2 km, se remueve alrededor de 140m</w:t>
      </w:r>
      <w:r w:rsidRPr="00F935AA">
        <w:rPr>
          <w:rFonts w:ascii="Bookman Old Style" w:hAnsi="Bookman Old Style"/>
          <w:sz w:val="24"/>
          <w:szCs w:val="24"/>
          <w:vertAlign w:val="superscript"/>
        </w:rPr>
        <w:t>3</w:t>
      </w:r>
      <w:r w:rsidRPr="00F935AA">
        <w:rPr>
          <w:rFonts w:ascii="Bookman Old Style" w:hAnsi="Bookman Old Style"/>
          <w:sz w:val="24"/>
          <w:szCs w:val="24"/>
        </w:rPr>
        <w:t xml:space="preserve"> de tierra, por lo que una plataforma promedio remueve alrededor de 830m</w:t>
      </w:r>
      <w:r w:rsidRPr="00F935AA">
        <w:rPr>
          <w:rFonts w:ascii="Bookman Old Style" w:hAnsi="Bookman Old Style"/>
          <w:sz w:val="24"/>
          <w:szCs w:val="24"/>
          <w:vertAlign w:val="superscript"/>
        </w:rPr>
        <w:t>3</w:t>
      </w:r>
      <w:r w:rsidRPr="00F935AA">
        <w:rPr>
          <w:rFonts w:ascii="Bookman Old Style" w:hAnsi="Bookman Old Style"/>
          <w:sz w:val="24"/>
          <w:szCs w:val="24"/>
        </w:rPr>
        <w:t>, casi diez veces más que un pozo convencional perforado a 2 km de profundidad. Cada plataforma puede acceder únicamente a una pequeña área del yacimiento que se pretende explotar, por lo que es común que se dispongan múltiples plataformas sobre el mismo requiriéndose una superficie lo suficientemente grande como para permitir el despliegue y almacenaje de los fluidos y los equipos necesarios para las operaciones de fractura y las perforaciones horizontales.</w:t>
      </w:r>
    </w:p>
    <w:p w:rsidR="00F935AA" w:rsidRPr="00F935AA" w:rsidRDefault="00F935AA" w:rsidP="00F935AA">
      <w:pPr>
        <w:spacing w:line="360" w:lineRule="auto"/>
        <w:ind w:firstLine="284"/>
        <w:jc w:val="both"/>
        <w:rPr>
          <w:rFonts w:ascii="Bookman Old Style" w:hAnsi="Bookman Old Style"/>
          <w:sz w:val="24"/>
          <w:szCs w:val="24"/>
        </w:rPr>
      </w:pPr>
      <w:r w:rsidRPr="00F935AA">
        <w:rPr>
          <w:rFonts w:ascii="Bookman Old Style" w:hAnsi="Bookman Old Style"/>
          <w:sz w:val="24"/>
          <w:szCs w:val="24"/>
        </w:rPr>
        <w:t xml:space="preserve">La fractura hidráulica o </w:t>
      </w:r>
      <w:proofErr w:type="spellStart"/>
      <w:r w:rsidRPr="00F935AA">
        <w:rPr>
          <w:rFonts w:ascii="Bookman Old Style" w:hAnsi="Bookman Old Style"/>
          <w:i/>
          <w:sz w:val="24"/>
          <w:szCs w:val="24"/>
        </w:rPr>
        <w:t>fracking</w:t>
      </w:r>
      <w:proofErr w:type="spellEnd"/>
      <w:r w:rsidRPr="00F935AA">
        <w:rPr>
          <w:rFonts w:ascii="Bookman Old Style" w:hAnsi="Bookman Old Style"/>
          <w:sz w:val="24"/>
          <w:szCs w:val="24"/>
        </w:rPr>
        <w:t xml:space="preserve"> es una técnica de explotación con tecnologías en etapa experimental, ya cuestionada en todo el mundo por los riesgos que puede generar sobre los cuales no hay certidumbre.</w:t>
      </w:r>
    </w:p>
    <w:p w:rsidR="00F935AA" w:rsidRPr="00F935AA" w:rsidRDefault="00F935AA" w:rsidP="00F935AA">
      <w:pPr>
        <w:spacing w:line="360" w:lineRule="auto"/>
        <w:ind w:firstLine="284"/>
        <w:jc w:val="both"/>
        <w:rPr>
          <w:rFonts w:ascii="Bookman Old Style" w:hAnsi="Bookman Old Style"/>
          <w:sz w:val="24"/>
          <w:szCs w:val="24"/>
        </w:rPr>
      </w:pPr>
      <w:r w:rsidRPr="00F935AA">
        <w:rPr>
          <w:rFonts w:ascii="Bookman Old Style" w:hAnsi="Bookman Old Style"/>
          <w:sz w:val="24"/>
          <w:szCs w:val="24"/>
        </w:rPr>
        <w:t xml:space="preserve">Esta incertidumbre sobre lo que provoca el uso de la técnica se apoya en testimonios irrefutables del gran deterioro ambiental, social y cultural producido en EE.UU., país que ha implementado la técnica masivamente desde hace poco más de una década, tanto que, algunos estados la han </w:t>
      </w:r>
      <w:r w:rsidRPr="00F935AA">
        <w:rPr>
          <w:rFonts w:ascii="Bookman Old Style" w:hAnsi="Bookman Old Style"/>
          <w:sz w:val="24"/>
          <w:szCs w:val="24"/>
        </w:rPr>
        <w:lastRenderedPageBreak/>
        <w:t>prohibido y otros cuentan con moratorias. Medidas similares se registran en otros países a niveles nacionales o subnacionales en los que recién se pretende implementar esta técnica: Francia, Bulgaria, Canadá, Australia, Nueva Zelanda e Inglaterra.</w:t>
      </w:r>
    </w:p>
    <w:p w:rsidR="00F935AA" w:rsidRDefault="00F935AA" w:rsidP="00F935AA">
      <w:pPr>
        <w:spacing w:line="360" w:lineRule="auto"/>
        <w:ind w:firstLine="284"/>
        <w:rPr>
          <w:rFonts w:ascii="Bookman Old Style" w:hAnsi="Bookman Old Style"/>
          <w:b/>
          <w:sz w:val="24"/>
          <w:szCs w:val="24"/>
        </w:rPr>
      </w:pPr>
      <w:bookmarkStart w:id="1" w:name="page2"/>
      <w:bookmarkEnd w:id="1"/>
    </w:p>
    <w:p w:rsidR="00F935AA" w:rsidRPr="00F935AA" w:rsidRDefault="00F935AA" w:rsidP="00F935AA">
      <w:pPr>
        <w:spacing w:line="360" w:lineRule="auto"/>
        <w:ind w:firstLine="284"/>
        <w:rPr>
          <w:rFonts w:ascii="Bookman Old Style" w:hAnsi="Bookman Old Style"/>
          <w:b/>
          <w:sz w:val="24"/>
          <w:szCs w:val="24"/>
        </w:rPr>
      </w:pPr>
      <w:r w:rsidRPr="00F935AA">
        <w:rPr>
          <w:rFonts w:ascii="Bookman Old Style" w:hAnsi="Bookman Old Style"/>
          <w:b/>
          <w:sz w:val="24"/>
          <w:szCs w:val="24"/>
        </w:rPr>
        <w:t>IMPACTOS</w:t>
      </w:r>
    </w:p>
    <w:p w:rsidR="00F935AA" w:rsidRPr="00F935AA" w:rsidRDefault="00F935AA" w:rsidP="00F935AA">
      <w:pPr>
        <w:spacing w:line="360" w:lineRule="auto"/>
        <w:rPr>
          <w:rFonts w:ascii="Bookman Old Style" w:hAnsi="Bookman Old Style"/>
          <w:b/>
          <w:sz w:val="24"/>
          <w:szCs w:val="24"/>
        </w:rPr>
      </w:pPr>
      <w:r w:rsidRPr="00F935AA">
        <w:rPr>
          <w:rFonts w:ascii="Bookman Old Style" w:hAnsi="Bookman Old Style"/>
          <w:b/>
          <w:sz w:val="24"/>
          <w:szCs w:val="24"/>
        </w:rPr>
        <w:t>Aguas superficiales y subterráneas:</w:t>
      </w:r>
    </w:p>
    <w:p w:rsidR="00F935AA" w:rsidRPr="00F935AA" w:rsidRDefault="00F935AA" w:rsidP="00F935AA">
      <w:pPr>
        <w:numPr>
          <w:ilvl w:val="0"/>
          <w:numId w:val="1"/>
        </w:numPr>
        <w:spacing w:line="360" w:lineRule="auto"/>
        <w:jc w:val="both"/>
        <w:rPr>
          <w:rFonts w:ascii="Bookman Old Style" w:hAnsi="Bookman Old Style"/>
          <w:sz w:val="24"/>
          <w:szCs w:val="24"/>
        </w:rPr>
      </w:pPr>
      <w:r w:rsidRPr="00F935AA">
        <w:rPr>
          <w:rFonts w:ascii="Bookman Old Style" w:hAnsi="Bookman Old Style"/>
          <w:sz w:val="24"/>
          <w:szCs w:val="24"/>
        </w:rPr>
        <w:t>El proceso de fractura hidráulica consume enormes cantidades de agua. Se ha calculado que se requieren entre 15.000 y 30.000 metros cúbicos de agua para iniciar las operaciones de un solo pozo.</w:t>
      </w:r>
    </w:p>
    <w:p w:rsidR="00F935AA" w:rsidRPr="00F935AA" w:rsidRDefault="00F935AA" w:rsidP="00F935AA">
      <w:pPr>
        <w:numPr>
          <w:ilvl w:val="0"/>
          <w:numId w:val="1"/>
        </w:numPr>
        <w:tabs>
          <w:tab w:val="left" w:pos="708"/>
        </w:tabs>
        <w:spacing w:line="360" w:lineRule="auto"/>
        <w:ind w:firstLine="2"/>
        <w:jc w:val="both"/>
        <w:rPr>
          <w:rFonts w:ascii="Bookman Old Style" w:hAnsi="Bookman Old Style"/>
          <w:sz w:val="24"/>
          <w:szCs w:val="24"/>
        </w:rPr>
      </w:pPr>
      <w:r>
        <w:rPr>
          <w:rFonts w:ascii="Bookman Old Style" w:hAnsi="Bookman Old Style"/>
          <w:sz w:val="24"/>
          <w:szCs w:val="24"/>
        </w:rPr>
        <w:t xml:space="preserve">Se </w:t>
      </w:r>
      <w:r w:rsidRPr="00F935AA">
        <w:rPr>
          <w:rFonts w:ascii="Bookman Old Style" w:hAnsi="Bookman Old Style"/>
          <w:sz w:val="24"/>
          <w:szCs w:val="24"/>
        </w:rPr>
        <w:t>conoce</w:t>
      </w:r>
      <w:r>
        <w:rPr>
          <w:rFonts w:ascii="Bookman Old Style" w:hAnsi="Bookman Old Style"/>
          <w:sz w:val="24"/>
          <w:szCs w:val="24"/>
        </w:rPr>
        <w:t xml:space="preserve"> que </w:t>
      </w:r>
      <w:r w:rsidRPr="00F935AA">
        <w:rPr>
          <w:rFonts w:ascii="Bookman Old Style" w:hAnsi="Bookman Old Style"/>
          <w:sz w:val="24"/>
          <w:szCs w:val="24"/>
        </w:rPr>
        <w:t>los químicos que se añaden a los fluidos usados para fracturar la roca</w:t>
      </w:r>
      <w:r>
        <w:rPr>
          <w:rFonts w:ascii="Bookman Old Style" w:hAnsi="Bookman Old Style"/>
          <w:sz w:val="24"/>
          <w:szCs w:val="24"/>
        </w:rPr>
        <w:t>,</w:t>
      </w:r>
      <w:r w:rsidRPr="00F935AA">
        <w:rPr>
          <w:rFonts w:ascii="Bookman Old Style" w:hAnsi="Bookman Old Style"/>
          <w:sz w:val="24"/>
          <w:szCs w:val="24"/>
        </w:rPr>
        <w:t xml:space="preserve"> </w:t>
      </w:r>
      <w:r>
        <w:rPr>
          <w:rFonts w:ascii="Bookman Old Style" w:hAnsi="Bookman Old Style"/>
          <w:sz w:val="24"/>
          <w:szCs w:val="24"/>
        </w:rPr>
        <w:t xml:space="preserve">se han determinado </w:t>
      </w:r>
      <w:r w:rsidRPr="00F935AA">
        <w:rPr>
          <w:rFonts w:ascii="Bookman Old Style" w:hAnsi="Bookman Old Style"/>
          <w:sz w:val="24"/>
          <w:szCs w:val="24"/>
        </w:rPr>
        <w:t>al menos 260 sustancias químicas presentes en alrededor de 197 productos, algunos de ellos son tóxicos, cancerígenos o mutagénicos. Son transportados a través de camiones por rutas y calles cercanas a zonas pobladas, ocasionando un riesgo permanente y de desconocido desenlace en caso de accidente.</w:t>
      </w:r>
    </w:p>
    <w:p w:rsidR="00F935AA" w:rsidRPr="00F935AA" w:rsidRDefault="00F935AA" w:rsidP="00F935AA">
      <w:pPr>
        <w:numPr>
          <w:ilvl w:val="0"/>
          <w:numId w:val="1"/>
        </w:numPr>
        <w:tabs>
          <w:tab w:val="left" w:pos="708"/>
        </w:tabs>
        <w:spacing w:line="360" w:lineRule="auto"/>
        <w:ind w:firstLine="2"/>
        <w:jc w:val="both"/>
        <w:rPr>
          <w:rFonts w:ascii="Bookman Old Style" w:hAnsi="Bookman Old Style"/>
          <w:sz w:val="24"/>
          <w:szCs w:val="24"/>
        </w:rPr>
      </w:pPr>
      <w:r w:rsidRPr="00F935AA">
        <w:rPr>
          <w:rFonts w:ascii="Bookman Old Style" w:hAnsi="Bookman Old Style"/>
          <w:sz w:val="24"/>
          <w:szCs w:val="24"/>
        </w:rPr>
        <w:t>Entre un 15% y un 80% del fluido que se inyecta para la fractura vuelve a la superficie como agua de retorno y el resto queda bajo tierra, conteniendo aditivos de la fractura y subproductos de transformación. Entre las sustancias disueltas en la formación rocosa, donde está el gas y petróleo durante el proceso de fractura hay metales pesados, hidrocarburos y elementos naturales radiactivos. La inyección del flujo de retorno</w:t>
      </w:r>
      <w:r w:rsidR="00547ED1">
        <w:rPr>
          <w:rFonts w:ascii="Bookman Old Style" w:hAnsi="Bookman Old Style"/>
          <w:sz w:val="24"/>
          <w:szCs w:val="24"/>
        </w:rPr>
        <w:t xml:space="preserve"> provoca sismos.</w:t>
      </w:r>
    </w:p>
    <w:p w:rsidR="00F935AA" w:rsidRPr="00F935AA" w:rsidRDefault="00F935AA" w:rsidP="00F935AA">
      <w:pPr>
        <w:numPr>
          <w:ilvl w:val="0"/>
          <w:numId w:val="1"/>
        </w:numPr>
        <w:tabs>
          <w:tab w:val="left" w:pos="708"/>
        </w:tabs>
        <w:spacing w:line="360" w:lineRule="auto"/>
        <w:ind w:firstLine="2"/>
        <w:jc w:val="both"/>
        <w:rPr>
          <w:rFonts w:ascii="Bookman Old Style" w:hAnsi="Bookman Old Style"/>
          <w:sz w:val="24"/>
          <w:szCs w:val="24"/>
        </w:rPr>
      </w:pPr>
      <w:r w:rsidRPr="00F935AA">
        <w:rPr>
          <w:rFonts w:ascii="Bookman Old Style" w:hAnsi="Bookman Old Style"/>
          <w:sz w:val="24"/>
          <w:szCs w:val="24"/>
        </w:rPr>
        <w:t>Existe una alta probabilidad de contaminación de los acuíferos subterráneos y de las aguas superficiales debido a las operaciones de la fractura hidráulica y a la disposición de las aguas residuales.</w:t>
      </w:r>
    </w:p>
    <w:p w:rsidR="00F935AA" w:rsidRDefault="00F935AA" w:rsidP="00F935AA">
      <w:pPr>
        <w:numPr>
          <w:ilvl w:val="0"/>
          <w:numId w:val="1"/>
        </w:numPr>
        <w:tabs>
          <w:tab w:val="left" w:pos="708"/>
        </w:tabs>
        <w:spacing w:line="360" w:lineRule="auto"/>
        <w:ind w:firstLine="2"/>
        <w:jc w:val="both"/>
        <w:rPr>
          <w:rFonts w:ascii="Bookman Old Style" w:hAnsi="Bookman Old Style"/>
          <w:sz w:val="24"/>
          <w:szCs w:val="24"/>
        </w:rPr>
      </w:pPr>
      <w:r w:rsidRPr="00F935AA">
        <w:rPr>
          <w:rFonts w:ascii="Bookman Old Style" w:hAnsi="Bookman Old Style"/>
          <w:sz w:val="24"/>
          <w:szCs w:val="24"/>
        </w:rPr>
        <w:t xml:space="preserve">Las altas presiones y los grandes volúmenes de agua utilizados para la fractura no garantizan la circunscripción de las mismas a la roca contenedora de petróleo, por lo que se asocia un alto riesgo si alguna fractura se comunica (fallas geológicas, formaciones permeables, el propio pozo, etc.) con formaciones superiores. Esto vincularía yacimientos de gas </w:t>
      </w:r>
      <w:r w:rsidRPr="00F935AA">
        <w:rPr>
          <w:rFonts w:ascii="Bookman Old Style" w:hAnsi="Bookman Old Style"/>
          <w:sz w:val="24"/>
          <w:szCs w:val="24"/>
        </w:rPr>
        <w:lastRenderedPageBreak/>
        <w:t>y/o petróleo con acuíferos subterráneos o incluso con la superficie, como ha ocurrido en algunos estados de los EE.UU., generando impactos ambientales de gran magnitud y de consecuencias irreversibles.</w:t>
      </w:r>
      <w:r w:rsidR="00547ED1">
        <w:rPr>
          <w:rFonts w:ascii="Bookman Old Style" w:hAnsi="Bookman Old Style"/>
          <w:sz w:val="24"/>
          <w:szCs w:val="24"/>
        </w:rPr>
        <w:t xml:space="preserve"> Poniendo en riesgo la salubridad de las aguas de nuestro Río Negro.</w:t>
      </w:r>
    </w:p>
    <w:p w:rsidR="00547ED1" w:rsidRPr="00F935AA" w:rsidRDefault="00547ED1" w:rsidP="00547ED1">
      <w:pPr>
        <w:tabs>
          <w:tab w:val="left" w:pos="708"/>
        </w:tabs>
        <w:spacing w:line="360" w:lineRule="auto"/>
        <w:jc w:val="both"/>
        <w:rPr>
          <w:rFonts w:ascii="Bookman Old Style" w:hAnsi="Bookman Old Style"/>
          <w:sz w:val="24"/>
          <w:szCs w:val="24"/>
        </w:rPr>
      </w:pPr>
    </w:p>
    <w:p w:rsidR="00F935AA" w:rsidRPr="00F935AA" w:rsidRDefault="00F935AA" w:rsidP="00F935AA">
      <w:pPr>
        <w:spacing w:line="360" w:lineRule="auto"/>
        <w:rPr>
          <w:rFonts w:ascii="Bookman Old Style" w:hAnsi="Bookman Old Style"/>
          <w:b/>
          <w:sz w:val="24"/>
          <w:szCs w:val="24"/>
        </w:rPr>
      </w:pPr>
      <w:r w:rsidRPr="00F935AA">
        <w:rPr>
          <w:rFonts w:ascii="Bookman Old Style" w:hAnsi="Bookman Old Style"/>
          <w:b/>
          <w:sz w:val="24"/>
          <w:szCs w:val="24"/>
        </w:rPr>
        <w:t>Contaminación atmosférica:</w:t>
      </w:r>
    </w:p>
    <w:p w:rsidR="00F935AA" w:rsidRPr="00F935AA" w:rsidRDefault="00F935AA" w:rsidP="00F935AA">
      <w:pPr>
        <w:spacing w:line="360" w:lineRule="auto"/>
        <w:jc w:val="both"/>
        <w:rPr>
          <w:rFonts w:ascii="Bookman Old Style" w:hAnsi="Bookman Old Style"/>
          <w:sz w:val="24"/>
          <w:szCs w:val="24"/>
        </w:rPr>
      </w:pPr>
      <w:r w:rsidRPr="00F935AA">
        <w:rPr>
          <w:rFonts w:ascii="Bookman Old Style" w:hAnsi="Bookman Old Style"/>
          <w:sz w:val="24"/>
          <w:szCs w:val="24"/>
        </w:rPr>
        <w:t>• Se ha registrado benceno, un potente agente cancerígeno, en el vapor que sale del "pozos de evaporación", donde a menudo se almacenan las aguas residuales usadas en la fractura hidráulica.</w:t>
      </w:r>
    </w:p>
    <w:p w:rsidR="00547ED1" w:rsidRDefault="00547ED1" w:rsidP="00F935AA">
      <w:pPr>
        <w:spacing w:line="360" w:lineRule="auto"/>
        <w:rPr>
          <w:rFonts w:ascii="Bookman Old Style" w:hAnsi="Bookman Old Style"/>
          <w:b/>
          <w:sz w:val="24"/>
          <w:szCs w:val="24"/>
        </w:rPr>
      </w:pPr>
    </w:p>
    <w:p w:rsidR="00547ED1" w:rsidRDefault="00547ED1" w:rsidP="00F935AA">
      <w:pPr>
        <w:spacing w:line="360" w:lineRule="auto"/>
        <w:rPr>
          <w:rFonts w:ascii="Bookman Old Style" w:hAnsi="Bookman Old Style"/>
          <w:b/>
          <w:sz w:val="24"/>
          <w:szCs w:val="24"/>
        </w:rPr>
      </w:pPr>
    </w:p>
    <w:p w:rsidR="00547ED1" w:rsidRDefault="00547ED1" w:rsidP="00F935AA">
      <w:pPr>
        <w:spacing w:line="360" w:lineRule="auto"/>
        <w:rPr>
          <w:rFonts w:ascii="Bookman Old Style" w:hAnsi="Bookman Old Style"/>
          <w:b/>
          <w:sz w:val="24"/>
          <w:szCs w:val="24"/>
        </w:rPr>
      </w:pPr>
    </w:p>
    <w:p w:rsidR="00F935AA" w:rsidRDefault="00F935AA" w:rsidP="00F935AA">
      <w:pPr>
        <w:spacing w:line="360" w:lineRule="auto"/>
        <w:rPr>
          <w:rFonts w:ascii="Bookman Old Style" w:hAnsi="Bookman Old Style"/>
          <w:b/>
          <w:sz w:val="24"/>
          <w:szCs w:val="24"/>
        </w:rPr>
      </w:pPr>
      <w:r w:rsidRPr="00F935AA">
        <w:rPr>
          <w:rFonts w:ascii="Bookman Old Style" w:hAnsi="Bookman Old Style"/>
          <w:b/>
          <w:sz w:val="24"/>
          <w:szCs w:val="24"/>
        </w:rPr>
        <w:t>Emisiones de gases de efecto invernadero (GEI):</w:t>
      </w:r>
    </w:p>
    <w:p w:rsidR="00547ED1" w:rsidRDefault="00547ED1" w:rsidP="00547ED1">
      <w:pPr>
        <w:numPr>
          <w:ilvl w:val="0"/>
          <w:numId w:val="2"/>
        </w:numPr>
        <w:tabs>
          <w:tab w:val="left" w:pos="720"/>
        </w:tabs>
        <w:spacing w:line="360" w:lineRule="auto"/>
        <w:ind w:left="720" w:hanging="718"/>
        <w:jc w:val="both"/>
        <w:rPr>
          <w:rFonts w:ascii="Bookman Old Style" w:hAnsi="Bookman Old Style"/>
          <w:sz w:val="24"/>
        </w:rPr>
      </w:pPr>
      <w:r w:rsidRPr="00547ED1">
        <w:rPr>
          <w:rFonts w:ascii="Bookman Old Style" w:hAnsi="Bookman Old Style"/>
          <w:sz w:val="24"/>
        </w:rPr>
        <w:t xml:space="preserve">Es crucial conocer y cuantificar las fugas de metano a la atmósfera. </w:t>
      </w:r>
    </w:p>
    <w:p w:rsidR="00F935AA" w:rsidRPr="00547ED1" w:rsidRDefault="00547ED1" w:rsidP="00547ED1">
      <w:pPr>
        <w:tabs>
          <w:tab w:val="left" w:pos="720"/>
        </w:tabs>
        <w:spacing w:line="360" w:lineRule="auto"/>
        <w:jc w:val="both"/>
        <w:rPr>
          <w:rFonts w:ascii="Bookman Old Style" w:hAnsi="Bookman Old Style"/>
          <w:sz w:val="24"/>
        </w:rPr>
      </w:pPr>
      <w:r w:rsidRPr="00547ED1">
        <w:rPr>
          <w:rFonts w:ascii="Bookman Old Style" w:hAnsi="Bookman Old Style"/>
          <w:sz w:val="24"/>
        </w:rPr>
        <w:t>Un reciente estudio de la NOAA (</w:t>
      </w:r>
      <w:proofErr w:type="spellStart"/>
      <w:r w:rsidRPr="00547ED1">
        <w:rPr>
          <w:rFonts w:ascii="Bookman Old Style" w:hAnsi="Bookman Old Style"/>
          <w:sz w:val="24"/>
        </w:rPr>
        <w:t>National</w:t>
      </w:r>
      <w:proofErr w:type="spellEnd"/>
      <w:r w:rsidRPr="00547ED1">
        <w:rPr>
          <w:rFonts w:ascii="Bookman Old Style" w:hAnsi="Bookman Old Style"/>
          <w:sz w:val="24"/>
        </w:rPr>
        <w:t xml:space="preserve"> </w:t>
      </w:r>
      <w:proofErr w:type="spellStart"/>
      <w:r w:rsidRPr="00547ED1">
        <w:rPr>
          <w:rFonts w:ascii="Bookman Old Style" w:hAnsi="Bookman Old Style"/>
          <w:sz w:val="24"/>
        </w:rPr>
        <w:t>Oceanic</w:t>
      </w:r>
      <w:proofErr w:type="spellEnd"/>
      <w:r w:rsidRPr="00547ED1">
        <w:rPr>
          <w:rFonts w:ascii="Bookman Old Style" w:hAnsi="Bookman Old Style"/>
          <w:sz w:val="24"/>
        </w:rPr>
        <w:t xml:space="preserve"> and </w:t>
      </w:r>
      <w:proofErr w:type="spellStart"/>
      <w:r w:rsidRPr="00547ED1">
        <w:rPr>
          <w:rFonts w:ascii="Bookman Old Style" w:hAnsi="Bookman Old Style"/>
          <w:sz w:val="24"/>
        </w:rPr>
        <w:t>Atmospheric</w:t>
      </w:r>
      <w:proofErr w:type="spellEnd"/>
      <w:r w:rsidRPr="00547ED1">
        <w:rPr>
          <w:rFonts w:ascii="Bookman Old Style" w:hAnsi="Bookman Old Style"/>
          <w:sz w:val="24"/>
        </w:rPr>
        <w:t xml:space="preserve"> </w:t>
      </w:r>
      <w:proofErr w:type="spellStart"/>
      <w:r w:rsidRPr="00547ED1">
        <w:rPr>
          <w:rFonts w:ascii="Bookman Old Style" w:hAnsi="Bookman Old Style"/>
          <w:sz w:val="24"/>
        </w:rPr>
        <w:t>Administration</w:t>
      </w:r>
      <w:proofErr w:type="spellEnd"/>
      <w:r w:rsidRPr="00547ED1">
        <w:rPr>
          <w:rFonts w:ascii="Bookman Old Style" w:hAnsi="Bookman Old Style"/>
          <w:sz w:val="24"/>
        </w:rPr>
        <w:t xml:space="preserve">) y de la Universidad </w:t>
      </w:r>
      <w:r w:rsidRPr="00547ED1">
        <w:rPr>
          <w:rFonts w:ascii="Bookman Old Style" w:hAnsi="Bookman Old Style"/>
          <w:sz w:val="24"/>
          <w:szCs w:val="24"/>
        </w:rPr>
        <w:t>de Colorado, en Boulder, determina</w:t>
      </w:r>
      <w:r>
        <w:rPr>
          <w:rFonts w:ascii="Bookman Old Style" w:hAnsi="Bookman Old Style"/>
          <w:sz w:val="24"/>
          <w:szCs w:val="24"/>
        </w:rPr>
        <w:t xml:space="preserve"> </w:t>
      </w:r>
      <w:r w:rsidR="00F935AA" w:rsidRPr="00547ED1">
        <w:rPr>
          <w:rFonts w:ascii="Bookman Old Style" w:hAnsi="Bookman Old Style"/>
          <w:sz w:val="24"/>
        </w:rPr>
        <w:t>que en el área conocida como la cuenca Denver-</w:t>
      </w:r>
      <w:proofErr w:type="spellStart"/>
      <w:r w:rsidR="00F935AA" w:rsidRPr="00547ED1">
        <w:rPr>
          <w:rFonts w:ascii="Bookman Old Style" w:hAnsi="Bookman Old Style"/>
          <w:sz w:val="24"/>
        </w:rPr>
        <w:t>Julesburg</w:t>
      </w:r>
      <w:proofErr w:type="spellEnd"/>
      <w:r w:rsidR="00F935AA" w:rsidRPr="00547ED1">
        <w:rPr>
          <w:rFonts w:ascii="Bookman Old Style" w:hAnsi="Bookman Old Style"/>
          <w:sz w:val="24"/>
        </w:rPr>
        <w:t xml:space="preserve"> (EE.UU.) las fugas son del 4%, sin incluir las pérdidas adicionales en el sistema de tuberías y distribución. Cabe recordar que el metano tiene una capacidad como gas de efecto invernadero 25 veces superior al dióxido de carbono.</w:t>
      </w:r>
    </w:p>
    <w:p w:rsidR="00F935AA" w:rsidRPr="00547ED1" w:rsidRDefault="00F935AA" w:rsidP="00547ED1">
      <w:pPr>
        <w:spacing w:line="360" w:lineRule="auto"/>
        <w:rPr>
          <w:rFonts w:ascii="Bookman Old Style" w:eastAsia="Times New Roman" w:hAnsi="Bookman Old Style"/>
          <w:sz w:val="24"/>
        </w:rPr>
      </w:pPr>
    </w:p>
    <w:p w:rsidR="00F935AA" w:rsidRPr="00547ED1" w:rsidRDefault="00F935AA" w:rsidP="00547ED1">
      <w:pPr>
        <w:spacing w:line="360" w:lineRule="auto"/>
        <w:rPr>
          <w:rFonts w:ascii="Bookman Old Style" w:hAnsi="Bookman Old Style"/>
          <w:b/>
          <w:sz w:val="24"/>
        </w:rPr>
      </w:pPr>
      <w:r w:rsidRPr="00547ED1">
        <w:rPr>
          <w:rFonts w:ascii="Bookman Old Style" w:hAnsi="Bookman Old Style"/>
          <w:b/>
          <w:sz w:val="24"/>
        </w:rPr>
        <w:t>Contaminación acústica e impactos paisajísticos</w:t>
      </w:r>
    </w:p>
    <w:p w:rsidR="00F935AA" w:rsidRPr="00547ED1" w:rsidRDefault="00F935AA" w:rsidP="00547ED1">
      <w:pPr>
        <w:numPr>
          <w:ilvl w:val="0"/>
          <w:numId w:val="3"/>
        </w:numPr>
        <w:tabs>
          <w:tab w:val="left" w:pos="708"/>
        </w:tabs>
        <w:spacing w:line="360" w:lineRule="auto"/>
        <w:ind w:right="20" w:firstLine="2"/>
        <w:jc w:val="both"/>
        <w:rPr>
          <w:rFonts w:ascii="Bookman Old Style" w:hAnsi="Bookman Old Style"/>
          <w:sz w:val="24"/>
        </w:rPr>
      </w:pPr>
      <w:r w:rsidRPr="00547ED1">
        <w:rPr>
          <w:rFonts w:ascii="Bookman Old Style" w:hAnsi="Bookman Old Style"/>
          <w:sz w:val="24"/>
        </w:rPr>
        <w:t>Las operaciones de perforación pueden causar degradación severa del paisaje por intensa ocupación y contaminación acústica como resultado del incremento del tráfico con la consecuente presión a poblaciones, rutas y caminos.</w:t>
      </w:r>
    </w:p>
    <w:p w:rsidR="00F935AA" w:rsidRPr="00547ED1" w:rsidRDefault="00F935AA" w:rsidP="00547ED1">
      <w:pPr>
        <w:numPr>
          <w:ilvl w:val="0"/>
          <w:numId w:val="3"/>
        </w:numPr>
        <w:tabs>
          <w:tab w:val="left" w:pos="708"/>
        </w:tabs>
        <w:spacing w:line="360" w:lineRule="auto"/>
        <w:ind w:right="20" w:firstLine="2"/>
        <w:jc w:val="both"/>
        <w:rPr>
          <w:rFonts w:ascii="Bookman Old Style" w:hAnsi="Bookman Old Style"/>
          <w:sz w:val="24"/>
        </w:rPr>
      </w:pPr>
      <w:r w:rsidRPr="00547ED1">
        <w:rPr>
          <w:rFonts w:ascii="Bookman Old Style" w:hAnsi="Bookman Old Style"/>
          <w:sz w:val="24"/>
        </w:rPr>
        <w:t>En superficie, se ocupa de 1,5 a 3 km2 por perforación incluyendo la locación y los caminos de acceso, y como estos pozos declinan muy rápido su producción, tiene que hacerse constantemente nuevas perforaciones, incrementando la degradación del territorio.</w:t>
      </w:r>
    </w:p>
    <w:p w:rsidR="00F935AA" w:rsidRPr="00547ED1" w:rsidRDefault="00F935AA" w:rsidP="00547ED1">
      <w:pPr>
        <w:spacing w:line="360" w:lineRule="auto"/>
        <w:rPr>
          <w:rFonts w:ascii="Bookman Old Style" w:eastAsia="Times New Roman" w:hAnsi="Bookman Old Style"/>
          <w:sz w:val="24"/>
        </w:rPr>
      </w:pPr>
    </w:p>
    <w:p w:rsidR="00F935AA" w:rsidRPr="00547ED1" w:rsidRDefault="00F935AA" w:rsidP="00547ED1">
      <w:pPr>
        <w:spacing w:line="360" w:lineRule="auto"/>
        <w:rPr>
          <w:rFonts w:ascii="Bookman Old Style" w:hAnsi="Bookman Old Style"/>
          <w:b/>
          <w:sz w:val="24"/>
        </w:rPr>
      </w:pPr>
      <w:r w:rsidRPr="00547ED1">
        <w:rPr>
          <w:rFonts w:ascii="Bookman Old Style" w:hAnsi="Bookman Old Style"/>
          <w:b/>
          <w:sz w:val="24"/>
        </w:rPr>
        <w:lastRenderedPageBreak/>
        <w:t>Riesgo sísmico</w:t>
      </w:r>
    </w:p>
    <w:p w:rsidR="00F935AA" w:rsidRDefault="00F935AA" w:rsidP="00547ED1">
      <w:pPr>
        <w:spacing w:line="360" w:lineRule="auto"/>
        <w:ind w:right="20"/>
        <w:jc w:val="both"/>
        <w:rPr>
          <w:rFonts w:ascii="Bookman Old Style" w:hAnsi="Bookman Old Style"/>
          <w:sz w:val="24"/>
        </w:rPr>
      </w:pPr>
      <w:r w:rsidRPr="00547ED1">
        <w:rPr>
          <w:rFonts w:ascii="Bookman Old Style" w:hAnsi="Bookman Old Style"/>
          <w:sz w:val="24"/>
        </w:rPr>
        <w:t xml:space="preserve">• La técnica ha provocado sismos de considerable magnitud en otros lugares del mundo donde se ha aplicado: Ohio (EE.UU.) 5 pozos inyectores provocaron 12 terremotos, uno de ellos de 4.0 en la escala de Richter; Oklahoma (EE.UU.), entre los años 1972 y 2008 tuvieron entre 2 a 6 temblores anuales, solo en el 2010, luego del inicio de esta actividad, se llegó a 1047 temblores, uno de ellos de 5.6 en la escala de Richter; Arkansas (EE.UU.), 700 temblores en solo 6 meses; Lancashire (Inglaterra), se suspendieron las operaciones luego de 2 terremotos, la propia empresa lo atribuyó a sus operaciones de </w:t>
      </w:r>
      <w:proofErr w:type="spellStart"/>
      <w:r w:rsidRPr="00547ED1">
        <w:rPr>
          <w:rFonts w:ascii="Bookman Old Style" w:hAnsi="Bookman Old Style"/>
          <w:i/>
          <w:sz w:val="24"/>
        </w:rPr>
        <w:t>fracking</w:t>
      </w:r>
      <w:proofErr w:type="spellEnd"/>
      <w:r w:rsidRPr="00547ED1">
        <w:rPr>
          <w:rFonts w:ascii="Bookman Old Style" w:hAnsi="Bookman Old Style"/>
          <w:sz w:val="24"/>
        </w:rPr>
        <w:t>.</w:t>
      </w:r>
    </w:p>
    <w:p w:rsidR="001B1ABE" w:rsidRDefault="001B1ABE" w:rsidP="00547ED1">
      <w:pPr>
        <w:spacing w:line="360" w:lineRule="auto"/>
        <w:ind w:right="20"/>
        <w:jc w:val="both"/>
        <w:rPr>
          <w:rFonts w:ascii="Bookman Old Style" w:hAnsi="Bookman Old Style"/>
          <w:sz w:val="24"/>
        </w:rPr>
      </w:pPr>
    </w:p>
    <w:p w:rsidR="00354B14" w:rsidRPr="00354B14" w:rsidRDefault="00354B14" w:rsidP="001B1ABE">
      <w:pPr>
        <w:pStyle w:val="NormalWeb"/>
        <w:shd w:val="clear" w:color="auto" w:fill="FFFFFF"/>
        <w:spacing w:before="0" w:beforeAutospacing="0" w:after="375" w:afterAutospacing="0" w:line="330" w:lineRule="atLeast"/>
        <w:ind w:firstLine="284"/>
        <w:jc w:val="both"/>
        <w:rPr>
          <w:rFonts w:ascii="Bookman Old Style" w:hAnsi="Bookman Old Style"/>
          <w:b/>
          <w:szCs w:val="20"/>
        </w:rPr>
      </w:pPr>
      <w:r w:rsidRPr="00354B14">
        <w:rPr>
          <w:rFonts w:ascii="Bookman Old Style" w:hAnsi="Bookman Old Style"/>
          <w:b/>
          <w:szCs w:val="20"/>
        </w:rPr>
        <w:t>Antec</w:t>
      </w:r>
      <w:r>
        <w:rPr>
          <w:rFonts w:ascii="Bookman Old Style" w:hAnsi="Bookman Old Style"/>
          <w:b/>
          <w:szCs w:val="20"/>
        </w:rPr>
        <w:t>edentes Ambientales:</w:t>
      </w:r>
    </w:p>
    <w:p w:rsidR="001B1ABE" w:rsidRPr="00734CA3" w:rsidRDefault="001B1ABE" w:rsidP="00B452C8">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Fonts w:ascii="Bookman Old Style" w:hAnsi="Bookman Old Style"/>
          <w:szCs w:val="20"/>
        </w:rPr>
        <w:t>Esta técnica ya ha sido prohibida tanto en otras localidades de Río Negro (Cinco Saltos</w:t>
      </w:r>
      <w:r w:rsidR="001E4D5D">
        <w:rPr>
          <w:rFonts w:ascii="Bookman Old Style" w:hAnsi="Bookman Old Style"/>
          <w:szCs w:val="20"/>
        </w:rPr>
        <w:t xml:space="preserve">; </w:t>
      </w:r>
      <w:proofErr w:type="spellStart"/>
      <w:r w:rsidR="001E4D5D">
        <w:rPr>
          <w:rFonts w:ascii="Bookman Old Style" w:hAnsi="Bookman Old Style"/>
          <w:szCs w:val="20"/>
        </w:rPr>
        <w:t>Choele</w:t>
      </w:r>
      <w:proofErr w:type="spellEnd"/>
      <w:r w:rsidR="001E4D5D">
        <w:rPr>
          <w:rFonts w:ascii="Bookman Old Style" w:hAnsi="Bookman Old Style"/>
          <w:szCs w:val="20"/>
        </w:rPr>
        <w:t xml:space="preserve"> </w:t>
      </w:r>
      <w:proofErr w:type="spellStart"/>
      <w:r w:rsidR="001E4D5D">
        <w:rPr>
          <w:rFonts w:ascii="Bookman Old Style" w:hAnsi="Bookman Old Style"/>
          <w:szCs w:val="20"/>
        </w:rPr>
        <w:t>Choel</w:t>
      </w:r>
      <w:proofErr w:type="spellEnd"/>
      <w:r w:rsidR="001E4D5D">
        <w:rPr>
          <w:rFonts w:ascii="Bookman Old Style" w:hAnsi="Bookman Old Style"/>
          <w:szCs w:val="20"/>
        </w:rPr>
        <w:t>, Beltrán; Viedma;</w:t>
      </w:r>
      <w:r w:rsidR="00A9128B">
        <w:rPr>
          <w:rFonts w:ascii="Bookman Old Style" w:hAnsi="Bookman Old Style"/>
          <w:szCs w:val="20"/>
        </w:rPr>
        <w:t xml:space="preserve"> Allen</w:t>
      </w:r>
      <w:r w:rsidR="00FF18AB">
        <w:rPr>
          <w:rFonts w:ascii="Bookman Old Style" w:hAnsi="Bookman Old Style"/>
          <w:szCs w:val="20"/>
        </w:rPr>
        <w:t xml:space="preserve">; </w:t>
      </w:r>
      <w:r w:rsidR="001C0100">
        <w:rPr>
          <w:rFonts w:ascii="Bookman Old Style" w:hAnsi="Bookman Old Style"/>
          <w:szCs w:val="20"/>
        </w:rPr>
        <w:t xml:space="preserve"> con Ordenanzas </w:t>
      </w:r>
      <w:r w:rsidR="00B452C8">
        <w:rPr>
          <w:rFonts w:ascii="Bookman Old Style" w:hAnsi="Bookman Old Style"/>
          <w:szCs w:val="20"/>
        </w:rPr>
        <w:t xml:space="preserve">Municipales, </w:t>
      </w:r>
      <w:r w:rsidR="001C0100">
        <w:rPr>
          <w:rFonts w:ascii="Bookman Old Style" w:hAnsi="Bookman Old Style"/>
          <w:szCs w:val="20"/>
        </w:rPr>
        <w:t>que en algunos casos fueron vetadas</w:t>
      </w:r>
      <w:r w:rsidR="00FF18AB">
        <w:rPr>
          <w:rFonts w:ascii="Bookman Old Style" w:hAnsi="Bookman Old Style"/>
          <w:szCs w:val="20"/>
        </w:rPr>
        <w:t xml:space="preserve"> y donde los ciudadanos ejercieron una fuerte presión para su sanción y reclaman por una plena Implementación de las mismas</w:t>
      </w:r>
      <w:r w:rsidRPr="00734CA3">
        <w:rPr>
          <w:rFonts w:ascii="Bookman Old Style" w:hAnsi="Bookman Old Style"/>
          <w:szCs w:val="20"/>
        </w:rPr>
        <w:t>), como de Entre Ríos (que avanza en una norma provincial), como así también en otros países del mundo. En este sentido el 12/05/2011 la Asamblea Francesa prohibió en todo el territorio nacional de Francia (287-146) la exploración y explotación de minas de hidrocarburos líquidos o gaseosos por medio de perforaciones seguidas de fracturación hidráulica de la roca, con penas económicas elevadísimas y penales que incluyen cárcel. Esa prohibición fue aprobada de manera definitiva por el Senado francés el 01/07/2011. Por otro lado el parlamento de Bulgaria ha prohibido la explotación mediante fractura hidráulica, rescindiendo los permisos que había otorgado. Dinamarca, por otro lado, ha decidido trabajar por la eficiencia energética, la reducción de las emisiones de Carbono y las energías renovables, dejándose absolutamente de lado el procedimiento de la fracturación hidráulica (“</w:t>
      </w:r>
      <w:proofErr w:type="spellStart"/>
      <w:r w:rsidRPr="00734CA3">
        <w:rPr>
          <w:rFonts w:ascii="Bookman Old Style" w:hAnsi="Bookman Old Style"/>
          <w:szCs w:val="20"/>
        </w:rPr>
        <w:t>fracking</w:t>
      </w:r>
      <w:proofErr w:type="spellEnd"/>
      <w:r w:rsidRPr="00734CA3">
        <w:rPr>
          <w:rFonts w:ascii="Bookman Old Style" w:hAnsi="Bookman Old Style"/>
          <w:szCs w:val="20"/>
        </w:rPr>
        <w:t>”). En Inglaterra, -donde se inició la exploración y explotación por el método de “</w:t>
      </w:r>
      <w:proofErr w:type="spellStart"/>
      <w:r w:rsidRPr="00734CA3">
        <w:rPr>
          <w:rFonts w:ascii="Bookman Old Style" w:hAnsi="Bookman Old Style"/>
          <w:szCs w:val="20"/>
        </w:rPr>
        <w:t>fracking</w:t>
      </w:r>
      <w:proofErr w:type="spellEnd"/>
      <w:r w:rsidRPr="00734CA3">
        <w:rPr>
          <w:rFonts w:ascii="Bookman Old Style" w:hAnsi="Bookman Old Style"/>
          <w:szCs w:val="20"/>
        </w:rPr>
        <w:t>” desde hace poco tiempo-, el Centro Tyndall adscripto a la Universidad de Mánchester ha publicado un informe en el que advierte sobre los graves daños del método proponiendo se suspendan estas actividades, que ya fue citado anteriormente. En Irlanda del Norte, se votó una moratoria sobre el “</w:t>
      </w:r>
      <w:proofErr w:type="spellStart"/>
      <w:r w:rsidRPr="00734CA3">
        <w:rPr>
          <w:rFonts w:ascii="Bookman Old Style" w:hAnsi="Bookman Old Style"/>
          <w:szCs w:val="20"/>
        </w:rPr>
        <w:t>fracking</w:t>
      </w:r>
      <w:proofErr w:type="spellEnd"/>
      <w:r w:rsidRPr="00734CA3">
        <w:rPr>
          <w:rFonts w:ascii="Bookman Old Style" w:hAnsi="Bookman Old Style"/>
          <w:szCs w:val="20"/>
        </w:rPr>
        <w:t xml:space="preserve">” y solicitó una cuidadosa evaluación </w:t>
      </w:r>
      <w:r w:rsidRPr="00734CA3">
        <w:rPr>
          <w:rFonts w:ascii="Bookman Old Style" w:hAnsi="Bookman Old Style"/>
          <w:szCs w:val="20"/>
        </w:rPr>
        <w:lastRenderedPageBreak/>
        <w:t>ambiental. La República de Irlanda por su parte, declaró en 2012 a través del Ministerio de Energía, la prohibición del “</w:t>
      </w:r>
      <w:proofErr w:type="spellStart"/>
      <w:r w:rsidRPr="00734CA3">
        <w:rPr>
          <w:rFonts w:ascii="Bookman Old Style" w:hAnsi="Bookman Old Style"/>
          <w:szCs w:val="20"/>
        </w:rPr>
        <w:t>fracking</w:t>
      </w:r>
      <w:proofErr w:type="spellEnd"/>
      <w:r w:rsidRPr="00734CA3">
        <w:rPr>
          <w:rFonts w:ascii="Bookman Old Style" w:hAnsi="Bookman Old Style"/>
          <w:szCs w:val="20"/>
        </w:rPr>
        <w:t>” en el territorio irlandés hasta que “estudios científicos muy pormenorizados permitan llegar a una recomendación definitiva sobre el asunto.”</w:t>
      </w:r>
    </w:p>
    <w:p w:rsidR="001B1ABE" w:rsidRPr="00734CA3" w:rsidRDefault="001B1ABE" w:rsidP="001B1ABE">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Fonts w:ascii="Bookman Old Style" w:hAnsi="Bookman Old Style"/>
          <w:szCs w:val="20"/>
        </w:rPr>
        <w:t xml:space="preserve">Australia también ha suspendido las exploraciones por este método y preparan una norma para prohibir la utilización de benceno, tolueno, </w:t>
      </w:r>
      <w:proofErr w:type="spellStart"/>
      <w:r w:rsidRPr="00734CA3">
        <w:rPr>
          <w:rFonts w:ascii="Bookman Old Style" w:hAnsi="Bookman Old Style"/>
          <w:szCs w:val="20"/>
        </w:rPr>
        <w:t>etilbenceno</w:t>
      </w:r>
      <w:proofErr w:type="spellEnd"/>
      <w:r w:rsidRPr="00734CA3">
        <w:rPr>
          <w:rFonts w:ascii="Bookman Old Style" w:hAnsi="Bookman Old Style"/>
          <w:szCs w:val="20"/>
        </w:rPr>
        <w:t xml:space="preserve"> y xileno. Entre otros países, Canadá ha paralizado los proyectos de extracción de gas vía “</w:t>
      </w:r>
      <w:proofErr w:type="spellStart"/>
      <w:r w:rsidRPr="00734CA3">
        <w:rPr>
          <w:rFonts w:ascii="Bookman Old Style" w:hAnsi="Bookman Old Style"/>
          <w:szCs w:val="20"/>
        </w:rPr>
        <w:t>fracking</w:t>
      </w:r>
      <w:proofErr w:type="spellEnd"/>
      <w:r w:rsidRPr="00734CA3">
        <w:rPr>
          <w:rFonts w:ascii="Bookman Old Style" w:hAnsi="Bookman Old Style"/>
          <w:szCs w:val="20"/>
        </w:rPr>
        <w:t>” hasta que se puedan evaluar mejor los riesgos y haya evidencias concluyentes y certeras de que no habrá efectos indeseados, ni contaminación futura. Sudáfrica extendió por seis meses más la prohibición de utilizar esta técnica para explorar la existencia de reservas gasíferas, hasta tanto continúen las investigaciones en torno a la seguridad de dicha técnica en términos de medio ambiente y riesgos para la salud. Esta situación se repite en República Checa.</w:t>
      </w:r>
    </w:p>
    <w:p w:rsidR="001B1ABE" w:rsidRPr="00734CA3" w:rsidRDefault="001B1ABE" w:rsidP="001B1ABE">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Fonts w:ascii="Bookman Old Style" w:hAnsi="Bookman Old Style"/>
          <w:szCs w:val="20"/>
        </w:rPr>
        <w:t xml:space="preserve">Burgos, en España, declaró su territorio “libre de </w:t>
      </w:r>
      <w:proofErr w:type="spellStart"/>
      <w:r w:rsidRPr="00734CA3">
        <w:rPr>
          <w:rFonts w:ascii="Bookman Old Style" w:hAnsi="Bookman Old Style"/>
          <w:szCs w:val="20"/>
        </w:rPr>
        <w:t>fracking</w:t>
      </w:r>
      <w:proofErr w:type="spellEnd"/>
      <w:r w:rsidRPr="00734CA3">
        <w:rPr>
          <w:rFonts w:ascii="Bookman Old Style" w:hAnsi="Bookman Old Style"/>
          <w:szCs w:val="20"/>
        </w:rPr>
        <w:t>”, a partir de la falta de “información y transparencia” sobre las implicaciones sociales y ambientales de dicha tecnología. En este mismo país, en Cantabria, se presentó en octubre del año pasado un proyecto de resolución para prohibir el “</w:t>
      </w:r>
      <w:proofErr w:type="spellStart"/>
      <w:r w:rsidRPr="00734CA3">
        <w:rPr>
          <w:rFonts w:ascii="Bookman Old Style" w:hAnsi="Bookman Old Style"/>
          <w:szCs w:val="20"/>
        </w:rPr>
        <w:t>fracking</w:t>
      </w:r>
      <w:proofErr w:type="spellEnd"/>
      <w:r w:rsidRPr="00734CA3">
        <w:rPr>
          <w:rFonts w:ascii="Bookman Old Style" w:hAnsi="Bookman Old Style"/>
          <w:szCs w:val="20"/>
        </w:rPr>
        <w:t xml:space="preserve">” en esa región autónoma de España, la prohibición que se extiende tanto a las investigaciones como a la extracción en sí misma. A su vez, el </w:t>
      </w:r>
      <w:proofErr w:type="spellStart"/>
      <w:r w:rsidRPr="00734CA3">
        <w:rPr>
          <w:rFonts w:ascii="Bookman Old Style" w:hAnsi="Bookman Old Style"/>
          <w:szCs w:val="20"/>
        </w:rPr>
        <w:t>canton</w:t>
      </w:r>
      <w:proofErr w:type="spellEnd"/>
      <w:r w:rsidRPr="00734CA3">
        <w:rPr>
          <w:rFonts w:ascii="Bookman Old Style" w:hAnsi="Bookman Old Style"/>
          <w:szCs w:val="20"/>
        </w:rPr>
        <w:t xml:space="preserve"> Suizo de </w:t>
      </w:r>
      <w:proofErr w:type="spellStart"/>
      <w:r w:rsidRPr="00734CA3">
        <w:rPr>
          <w:rFonts w:ascii="Bookman Old Style" w:hAnsi="Bookman Old Style"/>
          <w:szCs w:val="20"/>
        </w:rPr>
        <w:t>Frigurgo</w:t>
      </w:r>
      <w:proofErr w:type="spellEnd"/>
      <w:r w:rsidRPr="00734CA3">
        <w:rPr>
          <w:rFonts w:ascii="Bookman Old Style" w:hAnsi="Bookman Old Style"/>
          <w:szCs w:val="20"/>
        </w:rPr>
        <w:t xml:space="preserve"> también prohibió la utilización del “</w:t>
      </w:r>
      <w:proofErr w:type="spellStart"/>
      <w:r w:rsidRPr="00734CA3">
        <w:rPr>
          <w:rFonts w:ascii="Bookman Old Style" w:hAnsi="Bookman Old Style"/>
          <w:szCs w:val="20"/>
        </w:rPr>
        <w:t>fracking</w:t>
      </w:r>
      <w:proofErr w:type="spellEnd"/>
      <w:r w:rsidRPr="00734CA3">
        <w:rPr>
          <w:rFonts w:ascii="Bookman Old Style" w:hAnsi="Bookman Old Style"/>
          <w:szCs w:val="20"/>
        </w:rPr>
        <w:t>” en todo el territorio cantonal.</w:t>
      </w:r>
    </w:p>
    <w:p w:rsidR="001B1ABE" w:rsidRPr="00734CA3" w:rsidRDefault="001B1ABE" w:rsidP="001B1ABE">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Fonts w:ascii="Bookman Old Style" w:hAnsi="Bookman Old Style"/>
          <w:szCs w:val="20"/>
        </w:rPr>
        <w:t xml:space="preserve">Por </w:t>
      </w:r>
      <w:r w:rsidR="00354B14">
        <w:rPr>
          <w:rFonts w:ascii="Bookman Old Style" w:hAnsi="Bookman Old Style"/>
          <w:szCs w:val="20"/>
        </w:rPr>
        <w:t>otro lado</w:t>
      </w:r>
      <w:r w:rsidRPr="00734CA3">
        <w:rPr>
          <w:rFonts w:ascii="Bookman Old Style" w:hAnsi="Bookman Old Style"/>
          <w:szCs w:val="20"/>
        </w:rPr>
        <w:t>, el periódico “</w:t>
      </w:r>
      <w:proofErr w:type="spellStart"/>
      <w:r w:rsidRPr="00734CA3">
        <w:rPr>
          <w:rFonts w:ascii="Bookman Old Style" w:hAnsi="Bookman Old Style"/>
          <w:szCs w:val="20"/>
        </w:rPr>
        <w:t>The</w:t>
      </w:r>
      <w:proofErr w:type="spellEnd"/>
      <w:r w:rsidRPr="00734CA3">
        <w:rPr>
          <w:rFonts w:ascii="Bookman Old Style" w:hAnsi="Bookman Old Style"/>
          <w:szCs w:val="20"/>
        </w:rPr>
        <w:t xml:space="preserve"> New York Times” ha publicado filtraciones de un informe interno del gobierno de Estados Unidos, donde se demuestra el enorme potencial contaminante de la fracturación hidráulica y que la mala gestión que de estos contaminantes, en más de una ocasión ha eliminado directamente toneladas de agua contaminada en los ríos.</w:t>
      </w:r>
    </w:p>
    <w:p w:rsidR="001B1ABE" w:rsidRPr="00734CA3" w:rsidRDefault="001B1ABE" w:rsidP="001B1ABE">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Fonts w:ascii="Bookman Old Style" w:hAnsi="Bookman Old Style"/>
          <w:szCs w:val="20"/>
        </w:rPr>
        <w:t>Por todo esto, es concluyente de los riesgos que trae aparejado el “</w:t>
      </w:r>
      <w:proofErr w:type="spellStart"/>
      <w:r w:rsidRPr="00734CA3">
        <w:rPr>
          <w:rFonts w:ascii="Bookman Old Style" w:hAnsi="Bookman Old Style"/>
          <w:szCs w:val="20"/>
        </w:rPr>
        <w:t>fracking</w:t>
      </w:r>
      <w:proofErr w:type="spellEnd"/>
      <w:r w:rsidRPr="00734CA3">
        <w:rPr>
          <w:rFonts w:ascii="Bookman Old Style" w:hAnsi="Bookman Old Style"/>
          <w:szCs w:val="20"/>
        </w:rPr>
        <w:t>” como método de extracción de gas no convencional, tanto para la salud como para el ambiente.</w:t>
      </w:r>
    </w:p>
    <w:p w:rsidR="001B1ABE" w:rsidRPr="00734CA3" w:rsidRDefault="001B1ABE" w:rsidP="001B1ABE">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Fonts w:ascii="Bookman Old Style" w:hAnsi="Bookman Old Style"/>
          <w:szCs w:val="20"/>
        </w:rPr>
        <w:t xml:space="preserve">Por último, nuestro municipio cuenta con la facultad de sostener tal prohibición dentro de su ejido y área circundante de todo aquello que </w:t>
      </w:r>
      <w:r w:rsidRPr="00734CA3">
        <w:rPr>
          <w:rFonts w:ascii="Bookman Old Style" w:hAnsi="Bookman Old Style"/>
          <w:szCs w:val="20"/>
        </w:rPr>
        <w:lastRenderedPageBreak/>
        <w:t>atente contra el ambiente. En definitiva, este Concejo Deliberante ratifica y afirma su autonomía y competencia en cuanto a las decisiones sobre su ejido municipal.</w:t>
      </w:r>
    </w:p>
    <w:p w:rsidR="001B1ABE" w:rsidRPr="00734CA3" w:rsidRDefault="001B1ABE" w:rsidP="001B1ABE">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Fonts w:ascii="Bookman Old Style" w:hAnsi="Bookman Old Style"/>
          <w:szCs w:val="20"/>
        </w:rPr>
        <w:t>Por todas estas razones, nuestro Municipio resulta competente para dictar las normas ambientales complementarias de los presupuestos mínimos de protección que resulten coadyuvantes para la conservación de su ambiente, de su paisaje, de su estructura sociológica y de su propio y particular estilo de vida, así como de los recursos naturales que aprovechan sustentablemente sus habitantes sin perturbar las actividades de sus vecinos, de las comunidades aledañas ni los derechos de las generaciones futuras.</w:t>
      </w:r>
    </w:p>
    <w:p w:rsidR="00354B14" w:rsidRDefault="00354B14" w:rsidP="00734CA3">
      <w:pPr>
        <w:pStyle w:val="NormalWeb"/>
        <w:shd w:val="clear" w:color="auto" w:fill="FFFFFF"/>
        <w:spacing w:before="0" w:beforeAutospacing="0" w:after="375" w:afterAutospacing="0" w:line="330" w:lineRule="atLeast"/>
        <w:ind w:firstLine="284"/>
        <w:jc w:val="both"/>
        <w:rPr>
          <w:rStyle w:val="Textoennegrita"/>
          <w:rFonts w:ascii="Bookman Old Style" w:hAnsi="Bookman Old Style"/>
          <w:szCs w:val="20"/>
        </w:rPr>
      </w:pPr>
    </w:p>
    <w:p w:rsidR="00734CA3" w:rsidRPr="00734CA3" w:rsidRDefault="00734CA3" w:rsidP="00734CA3">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Style w:val="Textoennegrita"/>
          <w:rFonts w:ascii="Bookman Old Style" w:hAnsi="Bookman Old Style"/>
          <w:szCs w:val="20"/>
        </w:rPr>
        <w:t>Antecedentes</w:t>
      </w:r>
      <w:r w:rsidR="00354B14">
        <w:rPr>
          <w:rStyle w:val="Textoennegrita"/>
          <w:rFonts w:ascii="Bookman Old Style" w:hAnsi="Bookman Old Style"/>
          <w:szCs w:val="20"/>
        </w:rPr>
        <w:t xml:space="preserve"> Legales</w:t>
      </w:r>
      <w:r w:rsidRPr="00734CA3">
        <w:rPr>
          <w:rStyle w:val="Textoennegrita"/>
          <w:rFonts w:ascii="Bookman Old Style" w:hAnsi="Bookman Old Style"/>
          <w:szCs w:val="20"/>
        </w:rPr>
        <w:t>:</w:t>
      </w:r>
    </w:p>
    <w:p w:rsidR="001E4D5D" w:rsidRDefault="001E4D5D" w:rsidP="001E4D5D">
      <w:pPr>
        <w:spacing w:line="360" w:lineRule="auto"/>
        <w:rPr>
          <w:rFonts w:ascii="Bookman Old Style" w:hAnsi="Bookman Old Style"/>
          <w:sz w:val="24"/>
        </w:rPr>
      </w:pPr>
      <w:r>
        <w:rPr>
          <w:rFonts w:ascii="Bookman Old Style" w:hAnsi="Bookman Old Style"/>
          <w:sz w:val="24"/>
        </w:rPr>
        <w:t>1</w:t>
      </w:r>
      <w:r w:rsidRPr="001E4D5D">
        <w:rPr>
          <w:rFonts w:ascii="Bookman Old Style" w:hAnsi="Bookman Old Style"/>
          <w:sz w:val="24"/>
        </w:rPr>
        <w:t>.- “Declaración de la Conferencia de Naciones Unidas sobre el Medio</w:t>
      </w:r>
      <w:r w:rsidRPr="001E4D5D">
        <w:rPr>
          <w:rFonts w:ascii="Bookman Old Style" w:hAnsi="Bookman Old Style"/>
          <w:sz w:val="24"/>
        </w:rPr>
        <w:br/>
        <w:t>Ambiente Humano” (Declaración Estocolmo 1972);</w:t>
      </w:r>
      <w:r w:rsidRPr="001E4D5D">
        <w:rPr>
          <w:rFonts w:ascii="Bookman Old Style" w:hAnsi="Bookman Old Style"/>
          <w:sz w:val="24"/>
        </w:rPr>
        <w:br/>
      </w:r>
      <w:r>
        <w:rPr>
          <w:rFonts w:ascii="Bookman Old Style" w:hAnsi="Bookman Old Style"/>
          <w:sz w:val="24"/>
        </w:rPr>
        <w:t>2</w:t>
      </w:r>
      <w:r w:rsidRPr="001E4D5D">
        <w:rPr>
          <w:rFonts w:ascii="Bookman Old Style" w:hAnsi="Bookman Old Style"/>
          <w:sz w:val="24"/>
        </w:rPr>
        <w:t>.- “Declaración de la Conferencia de Naciones Unidas sobre el Medio</w:t>
      </w:r>
      <w:r w:rsidRPr="001E4D5D">
        <w:rPr>
          <w:rFonts w:ascii="Bookman Old Style" w:hAnsi="Bookman Old Style"/>
          <w:sz w:val="24"/>
        </w:rPr>
        <w:br/>
        <w:t>Ambiente Humano” (Río 1992);</w:t>
      </w:r>
      <w:r w:rsidRPr="001E4D5D">
        <w:rPr>
          <w:rFonts w:ascii="Bookman Old Style" w:hAnsi="Bookman Old Style"/>
          <w:sz w:val="24"/>
        </w:rPr>
        <w:br/>
      </w:r>
      <w:r>
        <w:rPr>
          <w:rFonts w:ascii="Bookman Old Style" w:hAnsi="Bookman Old Style"/>
          <w:sz w:val="24"/>
        </w:rPr>
        <w:t>3</w:t>
      </w:r>
      <w:r w:rsidRPr="001E4D5D">
        <w:rPr>
          <w:rFonts w:ascii="Bookman Old Style" w:hAnsi="Bookman Old Style"/>
          <w:sz w:val="24"/>
        </w:rPr>
        <w:t>.- “Pacto Internacional de Derechos Civiles y Políticos”;</w:t>
      </w:r>
      <w:r w:rsidRPr="001E4D5D">
        <w:rPr>
          <w:rFonts w:ascii="Bookman Old Style" w:hAnsi="Bookman Old Style"/>
          <w:sz w:val="24"/>
        </w:rPr>
        <w:br/>
      </w:r>
      <w:r>
        <w:rPr>
          <w:rFonts w:ascii="Bookman Old Style" w:hAnsi="Bookman Old Style"/>
          <w:sz w:val="24"/>
        </w:rPr>
        <w:t>4</w:t>
      </w:r>
      <w:r w:rsidRPr="001E4D5D">
        <w:rPr>
          <w:rFonts w:ascii="Bookman Old Style" w:hAnsi="Bookman Old Style"/>
          <w:sz w:val="24"/>
        </w:rPr>
        <w:t>.-“Pacto Internacional de Derechos Económicos, Sociales y Culturales”;</w:t>
      </w:r>
      <w:r w:rsidRPr="001E4D5D">
        <w:rPr>
          <w:rFonts w:ascii="Bookman Old Style" w:hAnsi="Bookman Old Style"/>
          <w:sz w:val="24"/>
        </w:rPr>
        <w:br/>
      </w:r>
      <w:r>
        <w:rPr>
          <w:rFonts w:ascii="Bookman Old Style" w:hAnsi="Bookman Old Style"/>
          <w:sz w:val="24"/>
        </w:rPr>
        <w:t>5</w:t>
      </w:r>
      <w:r w:rsidRPr="001E4D5D">
        <w:rPr>
          <w:rFonts w:ascii="Bookman Old Style" w:hAnsi="Bookman Old Style"/>
          <w:sz w:val="24"/>
        </w:rPr>
        <w:t>.- “Convenio OIT Número 176”;</w:t>
      </w:r>
    </w:p>
    <w:p w:rsidR="001E4D5D" w:rsidRPr="001E4D5D" w:rsidRDefault="001E4D5D" w:rsidP="001E4D5D">
      <w:pPr>
        <w:spacing w:line="360" w:lineRule="auto"/>
        <w:rPr>
          <w:rFonts w:ascii="Bookman Old Style" w:hAnsi="Bookman Old Style"/>
          <w:sz w:val="24"/>
        </w:rPr>
      </w:pPr>
      <w:r>
        <w:rPr>
          <w:rFonts w:ascii="Bookman Old Style" w:hAnsi="Bookman Old Style"/>
          <w:sz w:val="24"/>
        </w:rPr>
        <w:t>6</w:t>
      </w:r>
      <w:r w:rsidR="00734CA3" w:rsidRPr="001E4D5D">
        <w:rPr>
          <w:rFonts w:ascii="Bookman Old Style" w:hAnsi="Bookman Old Style"/>
          <w:sz w:val="24"/>
        </w:rPr>
        <w:t>.- Constitución Nacional, art. 41° y 75°, inc. 22;</w:t>
      </w:r>
    </w:p>
    <w:p w:rsidR="00734CA3" w:rsidRDefault="001E4D5D" w:rsidP="001E4D5D">
      <w:pPr>
        <w:spacing w:line="360" w:lineRule="auto"/>
        <w:rPr>
          <w:rFonts w:ascii="Bookman Old Style" w:hAnsi="Bookman Old Style"/>
          <w:sz w:val="24"/>
        </w:rPr>
      </w:pPr>
      <w:r>
        <w:rPr>
          <w:rFonts w:ascii="Bookman Old Style" w:hAnsi="Bookman Old Style"/>
          <w:sz w:val="24"/>
        </w:rPr>
        <w:t>7</w:t>
      </w:r>
      <w:r w:rsidR="00354B14" w:rsidRPr="001E4D5D">
        <w:rPr>
          <w:rFonts w:ascii="Bookman Old Style" w:hAnsi="Bookman Old Style"/>
          <w:sz w:val="24"/>
        </w:rPr>
        <w:t>.- Ley Nacional N° 25.675 de “Política Ambiental Nacional”:</w:t>
      </w:r>
      <w:r w:rsidR="00354B14" w:rsidRPr="001E4D5D">
        <w:rPr>
          <w:rFonts w:ascii="Bookman Old Style" w:hAnsi="Bookman Old Style"/>
          <w:sz w:val="24"/>
        </w:rPr>
        <w:br/>
      </w:r>
      <w:r>
        <w:rPr>
          <w:rFonts w:ascii="Bookman Old Style" w:hAnsi="Bookman Old Style"/>
          <w:sz w:val="24"/>
        </w:rPr>
        <w:t>8</w:t>
      </w:r>
      <w:r w:rsidR="00354B14" w:rsidRPr="001E4D5D">
        <w:rPr>
          <w:rFonts w:ascii="Bookman Old Style" w:hAnsi="Bookman Old Style"/>
          <w:sz w:val="24"/>
        </w:rPr>
        <w:t>.- Ley Nacional N° 22.428 de “Conservación de Suelos”.</w:t>
      </w:r>
      <w:r w:rsidR="00354B14" w:rsidRPr="001E4D5D">
        <w:rPr>
          <w:rFonts w:ascii="Bookman Old Style" w:hAnsi="Bookman Old Style"/>
          <w:sz w:val="24"/>
        </w:rPr>
        <w:br/>
      </w:r>
      <w:r>
        <w:rPr>
          <w:rFonts w:ascii="Bookman Old Style" w:hAnsi="Bookman Old Style"/>
          <w:sz w:val="24"/>
        </w:rPr>
        <w:t>9</w:t>
      </w:r>
      <w:r w:rsidR="00734CA3" w:rsidRPr="001E4D5D">
        <w:rPr>
          <w:rFonts w:ascii="Bookman Old Style" w:hAnsi="Bookman Old Style"/>
          <w:sz w:val="24"/>
        </w:rPr>
        <w:t xml:space="preserve">.- </w:t>
      </w:r>
      <w:r w:rsidR="005A0A90" w:rsidRPr="001E4D5D">
        <w:rPr>
          <w:rFonts w:ascii="Bookman Old Style" w:hAnsi="Bookman Old Style"/>
          <w:sz w:val="24"/>
        </w:rPr>
        <w:t xml:space="preserve">La </w:t>
      </w:r>
      <w:r w:rsidR="00734CA3" w:rsidRPr="001E4D5D">
        <w:rPr>
          <w:rFonts w:ascii="Bookman Old Style" w:hAnsi="Bookman Old Style"/>
          <w:sz w:val="24"/>
        </w:rPr>
        <w:t xml:space="preserve">Constitución de la Provincia de Río Negro, </w:t>
      </w:r>
      <w:r w:rsidR="005A0A90" w:rsidRPr="001E4D5D">
        <w:rPr>
          <w:rFonts w:ascii="Bookman Old Style" w:hAnsi="Bookman Old Style"/>
          <w:sz w:val="24"/>
        </w:rPr>
        <w:t xml:space="preserve">contiene un </w:t>
      </w:r>
      <w:proofErr w:type="spellStart"/>
      <w:r w:rsidR="005A0A90" w:rsidRPr="001E4D5D">
        <w:rPr>
          <w:rFonts w:ascii="Bookman Old Style" w:hAnsi="Bookman Old Style"/>
          <w:sz w:val="24"/>
        </w:rPr>
        <w:t>titulo</w:t>
      </w:r>
      <w:proofErr w:type="spellEnd"/>
      <w:r w:rsidR="005A0A90" w:rsidRPr="001E4D5D">
        <w:rPr>
          <w:rFonts w:ascii="Bookman Old Style" w:hAnsi="Bookman Old Style"/>
          <w:sz w:val="24"/>
        </w:rPr>
        <w:t xml:space="preserve"> referido a la política de los recursos naturales en sus </w:t>
      </w:r>
      <w:r w:rsidR="00734CA3" w:rsidRPr="001E4D5D">
        <w:rPr>
          <w:rFonts w:ascii="Bookman Old Style" w:hAnsi="Bookman Old Style"/>
          <w:sz w:val="24"/>
        </w:rPr>
        <w:t xml:space="preserve">Arts. </w:t>
      </w:r>
      <w:r w:rsidR="005A0A90" w:rsidRPr="001E4D5D">
        <w:rPr>
          <w:rFonts w:ascii="Bookman Old Style" w:hAnsi="Bookman Old Style"/>
          <w:sz w:val="24"/>
        </w:rPr>
        <w:t xml:space="preserve">del 70 al 81 y relacionados a la política ecológica Arts. </w:t>
      </w:r>
      <w:r w:rsidR="00734CA3" w:rsidRPr="001E4D5D">
        <w:rPr>
          <w:rFonts w:ascii="Bookman Old Style" w:hAnsi="Bookman Old Style"/>
          <w:sz w:val="24"/>
        </w:rPr>
        <w:t>84° y 85°</w:t>
      </w:r>
      <w:r w:rsidR="005A0A90" w:rsidRPr="001E4D5D">
        <w:rPr>
          <w:rFonts w:ascii="Bookman Old Style" w:hAnsi="Bookman Old Style"/>
          <w:sz w:val="24"/>
        </w:rPr>
        <w:t>.</w:t>
      </w:r>
      <w:r w:rsidR="00734CA3" w:rsidRPr="001E4D5D">
        <w:rPr>
          <w:rFonts w:ascii="Bookman Old Style" w:hAnsi="Bookman Old Style"/>
          <w:sz w:val="24"/>
        </w:rPr>
        <w:br/>
      </w:r>
      <w:r>
        <w:rPr>
          <w:rFonts w:ascii="Bookman Old Style" w:hAnsi="Bookman Old Style"/>
          <w:sz w:val="24"/>
        </w:rPr>
        <w:t>10</w:t>
      </w:r>
      <w:r w:rsidR="00734CA3" w:rsidRPr="001E4D5D">
        <w:rPr>
          <w:rFonts w:ascii="Bookman Old Style" w:hAnsi="Bookman Old Style"/>
          <w:sz w:val="24"/>
        </w:rPr>
        <w:t>.- Leyes N° 1556, 2517, 2342, 2871, 3266, 2472, 2631, 3981 y 4738, de la Provincia de Río Negro;</w:t>
      </w:r>
      <w:r w:rsidR="00734CA3" w:rsidRPr="001E4D5D">
        <w:rPr>
          <w:rFonts w:ascii="Bookman Old Style" w:hAnsi="Bookman Old Style"/>
          <w:sz w:val="24"/>
        </w:rPr>
        <w:br/>
      </w:r>
      <w:r>
        <w:rPr>
          <w:rFonts w:ascii="Bookman Old Style" w:hAnsi="Bookman Old Style"/>
          <w:sz w:val="24"/>
        </w:rPr>
        <w:t>11</w:t>
      </w:r>
      <w:r w:rsidRPr="001E4D5D">
        <w:rPr>
          <w:rFonts w:ascii="Bookman Old Style" w:hAnsi="Bookman Old Style"/>
          <w:sz w:val="24"/>
        </w:rPr>
        <w:t xml:space="preserve">.- Carta Orgánica Municipal de General Roca, Art. 6°, art 7 (inciso 10), </w:t>
      </w:r>
      <w:r w:rsidRPr="001E4D5D">
        <w:rPr>
          <w:rFonts w:ascii="Bookman Old Style" w:hAnsi="Bookman Old Style"/>
          <w:sz w:val="24"/>
        </w:rPr>
        <w:lastRenderedPageBreak/>
        <w:t>art. 39 (inciso 23),  108° (inciso 3);</w:t>
      </w:r>
      <w:r w:rsidRPr="001E4D5D">
        <w:rPr>
          <w:rFonts w:ascii="Bookman Old Style" w:hAnsi="Bookman Old Style"/>
          <w:sz w:val="24"/>
        </w:rPr>
        <w:br/>
      </w:r>
    </w:p>
    <w:p w:rsidR="00734CA3" w:rsidRPr="00734CA3" w:rsidRDefault="00734CA3" w:rsidP="00734CA3">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Style w:val="Textoennegrita"/>
          <w:rFonts w:ascii="Bookman Old Style" w:hAnsi="Bookman Old Style"/>
          <w:szCs w:val="20"/>
        </w:rPr>
        <w:t>Por ello:</w:t>
      </w:r>
    </w:p>
    <w:p w:rsidR="00734CA3" w:rsidRPr="00734CA3" w:rsidRDefault="00734CA3" w:rsidP="005A0A90">
      <w:pPr>
        <w:pStyle w:val="NormalWeb"/>
        <w:shd w:val="clear" w:color="auto" w:fill="FFFFFF"/>
        <w:spacing w:before="0" w:beforeAutospacing="0" w:after="375" w:afterAutospacing="0" w:line="330" w:lineRule="atLeast"/>
        <w:ind w:firstLine="284"/>
        <w:rPr>
          <w:rFonts w:ascii="Bookman Old Style" w:hAnsi="Bookman Old Style"/>
          <w:szCs w:val="20"/>
        </w:rPr>
      </w:pPr>
      <w:r w:rsidRPr="00734CA3">
        <w:rPr>
          <w:rFonts w:ascii="Bookman Old Style" w:hAnsi="Bookman Old Style"/>
          <w:szCs w:val="20"/>
        </w:rPr>
        <w:t xml:space="preserve">EL CONCEJO DELIBERANTE DE </w:t>
      </w:r>
      <w:r w:rsidR="005A0A90">
        <w:rPr>
          <w:rFonts w:ascii="Bookman Old Style" w:hAnsi="Bookman Old Style"/>
          <w:szCs w:val="20"/>
        </w:rPr>
        <w:t xml:space="preserve">LA CIUDAD DE GENERAL ROCA </w:t>
      </w:r>
      <w:r w:rsidRPr="00734CA3">
        <w:rPr>
          <w:rFonts w:ascii="Bookman Old Style" w:hAnsi="Bookman Old Style"/>
          <w:szCs w:val="20"/>
        </w:rPr>
        <w:t>SANCIONA CON FUERZA DE</w:t>
      </w:r>
      <w:r w:rsidR="005A0A90">
        <w:rPr>
          <w:rFonts w:ascii="Bookman Old Style" w:hAnsi="Bookman Old Style"/>
          <w:szCs w:val="20"/>
        </w:rPr>
        <w:t xml:space="preserve"> </w:t>
      </w:r>
      <w:r w:rsidRPr="00734CA3">
        <w:rPr>
          <w:rFonts w:ascii="Bookman Old Style" w:hAnsi="Bookman Old Style"/>
          <w:szCs w:val="20"/>
        </w:rPr>
        <w:t>ORDENANZA:</w:t>
      </w:r>
    </w:p>
    <w:p w:rsidR="00734CA3" w:rsidRPr="00734CA3" w:rsidRDefault="00734CA3" w:rsidP="00734CA3">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Style w:val="Textoennegrita"/>
          <w:rFonts w:ascii="Bookman Old Style" w:hAnsi="Bookman Old Style"/>
          <w:szCs w:val="20"/>
        </w:rPr>
        <w:t>Artículo 1°.-</w:t>
      </w:r>
      <w:r w:rsidRPr="00734CA3">
        <w:rPr>
          <w:rStyle w:val="apple-converted-space"/>
          <w:rFonts w:ascii="Bookman Old Style" w:hAnsi="Bookman Old Style"/>
          <w:szCs w:val="20"/>
        </w:rPr>
        <w:t> </w:t>
      </w:r>
      <w:r w:rsidRPr="00734CA3">
        <w:rPr>
          <w:rFonts w:ascii="Bookman Old Style" w:hAnsi="Bookman Old Style"/>
          <w:szCs w:val="20"/>
        </w:rPr>
        <w:t xml:space="preserve">Declarar que el Ejido Municipal de </w:t>
      </w:r>
      <w:r w:rsidR="001E4D5D">
        <w:rPr>
          <w:rFonts w:ascii="Bookman Old Style" w:hAnsi="Bookman Old Style"/>
          <w:szCs w:val="20"/>
        </w:rPr>
        <w:t>la ciudad de General Roca</w:t>
      </w:r>
      <w:r w:rsidRPr="00734CA3">
        <w:rPr>
          <w:rFonts w:ascii="Bookman Old Style" w:hAnsi="Bookman Old Style"/>
          <w:szCs w:val="20"/>
        </w:rPr>
        <w:t xml:space="preserve"> es “Un Municipio Libre de Fractura Hidráulica (</w:t>
      </w:r>
      <w:proofErr w:type="spellStart"/>
      <w:r w:rsidRPr="00734CA3">
        <w:rPr>
          <w:rFonts w:ascii="Bookman Old Style" w:hAnsi="Bookman Old Style"/>
          <w:szCs w:val="20"/>
        </w:rPr>
        <w:t>Fracking</w:t>
      </w:r>
      <w:proofErr w:type="spellEnd"/>
      <w:r w:rsidRPr="00734CA3">
        <w:rPr>
          <w:rFonts w:ascii="Bookman Old Style" w:hAnsi="Bookman Old Style"/>
          <w:szCs w:val="20"/>
        </w:rPr>
        <w:t>)”.</w:t>
      </w:r>
    </w:p>
    <w:p w:rsidR="00644C78" w:rsidRDefault="00734CA3" w:rsidP="001E4D5D">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Style w:val="Textoennegrita"/>
          <w:rFonts w:ascii="Bookman Old Style" w:hAnsi="Bookman Old Style"/>
          <w:szCs w:val="20"/>
        </w:rPr>
        <w:t>Artículo 2°.-</w:t>
      </w:r>
      <w:r w:rsidRPr="00734CA3">
        <w:rPr>
          <w:rStyle w:val="apple-converted-space"/>
          <w:rFonts w:ascii="Bookman Old Style" w:hAnsi="Bookman Old Style"/>
          <w:szCs w:val="20"/>
        </w:rPr>
        <w:t> </w:t>
      </w:r>
      <w:r w:rsidRPr="00734CA3">
        <w:rPr>
          <w:rFonts w:ascii="Bookman Old Style" w:hAnsi="Bookman Old Style"/>
          <w:szCs w:val="20"/>
        </w:rPr>
        <w:t xml:space="preserve">Prohíbase en el Ejido Municipal de </w:t>
      </w:r>
      <w:r w:rsidR="001E4D5D">
        <w:rPr>
          <w:rFonts w:ascii="Bookman Old Style" w:hAnsi="Bookman Old Style"/>
          <w:szCs w:val="20"/>
        </w:rPr>
        <w:t>la ciudad de General Roca</w:t>
      </w:r>
      <w:r w:rsidR="001E4D5D" w:rsidRPr="00734CA3">
        <w:rPr>
          <w:rFonts w:ascii="Bookman Old Style" w:hAnsi="Bookman Old Style"/>
          <w:szCs w:val="20"/>
        </w:rPr>
        <w:t xml:space="preserve"> </w:t>
      </w:r>
      <w:r w:rsidRPr="00734CA3">
        <w:rPr>
          <w:rFonts w:ascii="Bookman Old Style" w:hAnsi="Bookman Old Style"/>
          <w:szCs w:val="20"/>
        </w:rPr>
        <w:t>todo tipo de actividad de Investigación, Exploración y Explotación de gas, petróleo, y otros hidrocarburos no convencionales mediante la</w:t>
      </w:r>
      <w:r w:rsidR="001E4D5D">
        <w:rPr>
          <w:rFonts w:ascii="Bookman Old Style" w:hAnsi="Bookman Old Style"/>
          <w:szCs w:val="20"/>
        </w:rPr>
        <w:t xml:space="preserve"> técnica de Fractura Hidráulica </w:t>
      </w:r>
      <w:r w:rsidRPr="00734CA3">
        <w:rPr>
          <w:rFonts w:ascii="Bookman Old Style" w:hAnsi="Bookman Old Style"/>
          <w:szCs w:val="20"/>
        </w:rPr>
        <w:t>(</w:t>
      </w:r>
      <w:proofErr w:type="spellStart"/>
      <w:r w:rsidRPr="00734CA3">
        <w:rPr>
          <w:rFonts w:ascii="Bookman Old Style" w:hAnsi="Bookman Old Style"/>
          <w:szCs w:val="20"/>
        </w:rPr>
        <w:t>Fracking</w:t>
      </w:r>
      <w:proofErr w:type="spellEnd"/>
      <w:r w:rsidRPr="00734CA3">
        <w:rPr>
          <w:rFonts w:ascii="Bookman Old Style" w:hAnsi="Bookman Old Style"/>
          <w:szCs w:val="20"/>
        </w:rPr>
        <w:t>).</w:t>
      </w:r>
    </w:p>
    <w:p w:rsidR="00734CA3" w:rsidRPr="00734CA3" w:rsidRDefault="00734CA3" w:rsidP="001E4D5D">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Style w:val="Textoennegrita"/>
          <w:rFonts w:ascii="Bookman Old Style" w:hAnsi="Bookman Old Style"/>
          <w:szCs w:val="20"/>
        </w:rPr>
        <w:t>Artículo 3°.-</w:t>
      </w:r>
      <w:r w:rsidRPr="00734CA3">
        <w:rPr>
          <w:rStyle w:val="apple-converted-space"/>
          <w:rFonts w:ascii="Bookman Old Style" w:hAnsi="Bookman Old Style"/>
          <w:szCs w:val="20"/>
        </w:rPr>
        <w:t> </w:t>
      </w:r>
      <w:r w:rsidR="00644C78">
        <w:rPr>
          <w:rFonts w:ascii="Bookman Old Style" w:hAnsi="Bookman Old Style"/>
          <w:szCs w:val="20"/>
        </w:rPr>
        <w:t>La S</w:t>
      </w:r>
      <w:r w:rsidRPr="00734CA3">
        <w:rPr>
          <w:rFonts w:ascii="Bookman Old Style" w:hAnsi="Bookman Old Style"/>
          <w:szCs w:val="20"/>
        </w:rPr>
        <w:t xml:space="preserve">ecretaría de </w:t>
      </w:r>
      <w:r w:rsidR="00644C78">
        <w:rPr>
          <w:rFonts w:ascii="Bookman Old Style" w:hAnsi="Bookman Old Style"/>
          <w:szCs w:val="20"/>
        </w:rPr>
        <w:t xml:space="preserve">Obras </w:t>
      </w:r>
      <w:r w:rsidRPr="00734CA3">
        <w:rPr>
          <w:rFonts w:ascii="Bookman Old Style" w:hAnsi="Bookman Old Style"/>
          <w:szCs w:val="20"/>
        </w:rPr>
        <w:t xml:space="preserve">y Medio Ambiente de la Municipalidad de </w:t>
      </w:r>
      <w:r w:rsidR="001E4D5D">
        <w:rPr>
          <w:rFonts w:ascii="Bookman Old Style" w:hAnsi="Bookman Old Style"/>
          <w:szCs w:val="20"/>
        </w:rPr>
        <w:t>la ciudad de General Roca</w:t>
      </w:r>
      <w:r w:rsidR="001E4D5D" w:rsidRPr="00734CA3">
        <w:rPr>
          <w:rFonts w:ascii="Bookman Old Style" w:hAnsi="Bookman Old Style"/>
          <w:szCs w:val="20"/>
        </w:rPr>
        <w:t xml:space="preserve"> </w:t>
      </w:r>
      <w:r w:rsidRPr="00734CA3">
        <w:rPr>
          <w:rFonts w:ascii="Bookman Old Style" w:hAnsi="Bookman Old Style"/>
          <w:szCs w:val="20"/>
        </w:rPr>
        <w:t>o el organismo reemplazante si lo hubiera será el órgano de control y el encargado del cumplimiento de la norma.</w:t>
      </w:r>
    </w:p>
    <w:p w:rsidR="00734CA3" w:rsidRPr="00734CA3" w:rsidRDefault="00734CA3" w:rsidP="00734CA3">
      <w:pPr>
        <w:pStyle w:val="NormalWeb"/>
        <w:shd w:val="clear" w:color="auto" w:fill="FFFFFF"/>
        <w:spacing w:before="0" w:beforeAutospacing="0" w:after="375" w:afterAutospacing="0" w:line="330" w:lineRule="atLeast"/>
        <w:ind w:firstLine="284"/>
        <w:jc w:val="both"/>
        <w:rPr>
          <w:rFonts w:ascii="Bookman Old Style" w:hAnsi="Bookman Old Style"/>
          <w:szCs w:val="20"/>
        </w:rPr>
      </w:pPr>
      <w:r w:rsidRPr="00734CA3">
        <w:rPr>
          <w:rStyle w:val="Textoennegrita"/>
          <w:rFonts w:ascii="Bookman Old Style" w:hAnsi="Bookman Old Style"/>
          <w:szCs w:val="20"/>
        </w:rPr>
        <w:t>Artículo 4°.-</w:t>
      </w:r>
      <w:r w:rsidRPr="00734CA3">
        <w:rPr>
          <w:rStyle w:val="apple-converted-space"/>
          <w:rFonts w:ascii="Bookman Old Style" w:hAnsi="Bookman Old Style"/>
          <w:szCs w:val="20"/>
        </w:rPr>
        <w:t> </w:t>
      </w:r>
      <w:r w:rsidR="00644C78">
        <w:rPr>
          <w:rFonts w:ascii="Bookman Old Style" w:hAnsi="Bookman Old Style"/>
          <w:szCs w:val="20"/>
        </w:rPr>
        <w:t>Regístrese, comuníquese al poder eje</w:t>
      </w:r>
      <w:r w:rsidR="008F7FE5">
        <w:rPr>
          <w:rFonts w:ascii="Bookman Old Style" w:hAnsi="Bookman Old Style"/>
          <w:szCs w:val="20"/>
        </w:rPr>
        <w:t>cutivo municipal;</w:t>
      </w:r>
      <w:r w:rsidR="00644C78">
        <w:rPr>
          <w:rFonts w:ascii="Bookman Old Style" w:hAnsi="Bookman Old Style"/>
          <w:szCs w:val="20"/>
        </w:rPr>
        <w:t xml:space="preserve"> a la legislatur</w:t>
      </w:r>
      <w:r w:rsidR="008F7FE5">
        <w:rPr>
          <w:rFonts w:ascii="Bookman Old Style" w:hAnsi="Bookman Old Style"/>
          <w:szCs w:val="20"/>
        </w:rPr>
        <w:t>a de la provincia de Río Negro;</w:t>
      </w:r>
      <w:r w:rsidR="00644C78">
        <w:rPr>
          <w:rFonts w:ascii="Bookman Old Style" w:hAnsi="Bookman Old Style"/>
          <w:szCs w:val="20"/>
        </w:rPr>
        <w:t xml:space="preserve"> al poder ejecutivo provincial y Nacional, cumplido archívese.</w:t>
      </w:r>
    </w:p>
    <w:p w:rsidR="00275ED4" w:rsidRPr="00734CA3" w:rsidRDefault="00275ED4" w:rsidP="00734CA3">
      <w:pPr>
        <w:ind w:firstLine="284"/>
        <w:jc w:val="both"/>
        <w:rPr>
          <w:rFonts w:ascii="Bookman Old Style" w:hAnsi="Bookman Old Style"/>
          <w:sz w:val="28"/>
        </w:rPr>
      </w:pPr>
    </w:p>
    <w:sectPr w:rsidR="00275ED4" w:rsidRPr="00734CA3" w:rsidSect="00734CA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92" w:rsidRDefault="00CC7292" w:rsidP="00547ED1">
      <w:r>
        <w:separator/>
      </w:r>
    </w:p>
  </w:endnote>
  <w:endnote w:type="continuationSeparator" w:id="0">
    <w:p w:rsidR="00CC7292" w:rsidRDefault="00CC7292" w:rsidP="005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40" w:rsidRPr="00A47940" w:rsidRDefault="00A47940" w:rsidP="00A47940">
    <w:pPr>
      <w:pStyle w:val="Piedepgina"/>
      <w:jc w:val="center"/>
      <w:rPr>
        <w:i/>
        <w:sz w:val="24"/>
      </w:rPr>
    </w:pPr>
    <w:r w:rsidRPr="00A47940">
      <w:rPr>
        <w:i/>
        <w:sz w:val="24"/>
      </w:rPr>
      <w:t xml:space="preserve">Departamento </w:t>
    </w:r>
    <w:r>
      <w:rPr>
        <w:i/>
        <w:sz w:val="24"/>
      </w:rPr>
      <w:t xml:space="preserve">Socioambiental Chico </w:t>
    </w:r>
    <w:proofErr w:type="spellStart"/>
    <w:r>
      <w:rPr>
        <w:i/>
        <w:sz w:val="24"/>
      </w:rPr>
      <w:t>Me</w:t>
    </w:r>
    <w:r w:rsidRPr="00A47940">
      <w:rPr>
        <w:i/>
        <w:sz w:val="24"/>
      </w:rPr>
      <w:t>ndes</w:t>
    </w:r>
    <w:proofErr w:type="spellEnd"/>
    <w:r w:rsidRPr="00A47940">
      <w:rPr>
        <w:i/>
        <w:sz w:val="24"/>
      </w:rPr>
      <w:t xml:space="preserve"> – Seccional UnTER Roca-Fiske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92" w:rsidRDefault="00CC7292" w:rsidP="00547ED1">
      <w:r>
        <w:separator/>
      </w:r>
    </w:p>
  </w:footnote>
  <w:footnote w:type="continuationSeparator" w:id="0">
    <w:p w:rsidR="00CC7292" w:rsidRDefault="00CC7292" w:rsidP="0054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A3"/>
    <w:rsid w:val="00047EA1"/>
    <w:rsid w:val="00092A1D"/>
    <w:rsid w:val="001A1952"/>
    <w:rsid w:val="001B1ABE"/>
    <w:rsid w:val="001C0100"/>
    <w:rsid w:val="001E4D5D"/>
    <w:rsid w:val="00275ED4"/>
    <w:rsid w:val="00320086"/>
    <w:rsid w:val="00354B14"/>
    <w:rsid w:val="00464471"/>
    <w:rsid w:val="00547ED1"/>
    <w:rsid w:val="005A0A90"/>
    <w:rsid w:val="00644C78"/>
    <w:rsid w:val="006F493F"/>
    <w:rsid w:val="00734CA3"/>
    <w:rsid w:val="007B25AE"/>
    <w:rsid w:val="007D3E5E"/>
    <w:rsid w:val="00872EB8"/>
    <w:rsid w:val="00875473"/>
    <w:rsid w:val="008F7FE5"/>
    <w:rsid w:val="00A47940"/>
    <w:rsid w:val="00A9128B"/>
    <w:rsid w:val="00B452C8"/>
    <w:rsid w:val="00B779F2"/>
    <w:rsid w:val="00C1770C"/>
    <w:rsid w:val="00CC7292"/>
    <w:rsid w:val="00D07397"/>
    <w:rsid w:val="00E12F09"/>
    <w:rsid w:val="00F53F59"/>
    <w:rsid w:val="00F935AA"/>
    <w:rsid w:val="00FB3F96"/>
    <w:rsid w:val="00FF18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A1841-25A0-45ED-BEFB-968021E7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5E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4CA3"/>
    <w:pPr>
      <w:spacing w:before="100" w:beforeAutospacing="1" w:after="100" w:afterAutospacing="1"/>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34CA3"/>
    <w:rPr>
      <w:b/>
      <w:bCs/>
    </w:rPr>
  </w:style>
  <w:style w:type="character" w:customStyle="1" w:styleId="apple-converted-space">
    <w:name w:val="apple-converted-space"/>
    <w:basedOn w:val="Fuentedeprrafopredeter"/>
    <w:rsid w:val="00734CA3"/>
  </w:style>
  <w:style w:type="paragraph" w:styleId="Textonotapie">
    <w:name w:val="footnote text"/>
    <w:basedOn w:val="Normal"/>
    <w:link w:val="TextonotapieCar"/>
    <w:uiPriority w:val="99"/>
    <w:semiHidden/>
    <w:unhideWhenUsed/>
    <w:rsid w:val="00547ED1"/>
    <w:rPr>
      <w:sz w:val="20"/>
      <w:szCs w:val="20"/>
    </w:rPr>
  </w:style>
  <w:style w:type="character" w:customStyle="1" w:styleId="TextonotapieCar">
    <w:name w:val="Texto nota pie Car"/>
    <w:basedOn w:val="Fuentedeprrafopredeter"/>
    <w:link w:val="Textonotapie"/>
    <w:uiPriority w:val="99"/>
    <w:semiHidden/>
    <w:rsid w:val="00547ED1"/>
    <w:rPr>
      <w:sz w:val="20"/>
      <w:szCs w:val="20"/>
    </w:rPr>
  </w:style>
  <w:style w:type="character" w:styleId="Refdenotaalpie">
    <w:name w:val="footnote reference"/>
    <w:basedOn w:val="Fuentedeprrafopredeter"/>
    <w:uiPriority w:val="99"/>
    <w:semiHidden/>
    <w:unhideWhenUsed/>
    <w:rsid w:val="00547ED1"/>
    <w:rPr>
      <w:vertAlign w:val="superscript"/>
    </w:rPr>
  </w:style>
  <w:style w:type="paragraph" w:styleId="Encabezado">
    <w:name w:val="header"/>
    <w:basedOn w:val="Normal"/>
    <w:link w:val="EncabezadoCar"/>
    <w:uiPriority w:val="99"/>
    <w:semiHidden/>
    <w:unhideWhenUsed/>
    <w:rsid w:val="00A47940"/>
    <w:pPr>
      <w:tabs>
        <w:tab w:val="center" w:pos="4419"/>
        <w:tab w:val="right" w:pos="8838"/>
      </w:tabs>
    </w:pPr>
  </w:style>
  <w:style w:type="character" w:customStyle="1" w:styleId="EncabezadoCar">
    <w:name w:val="Encabezado Car"/>
    <w:basedOn w:val="Fuentedeprrafopredeter"/>
    <w:link w:val="Encabezado"/>
    <w:uiPriority w:val="99"/>
    <w:semiHidden/>
    <w:rsid w:val="00A47940"/>
  </w:style>
  <w:style w:type="paragraph" w:styleId="Piedepgina">
    <w:name w:val="footer"/>
    <w:basedOn w:val="Normal"/>
    <w:link w:val="PiedepginaCar"/>
    <w:uiPriority w:val="99"/>
    <w:semiHidden/>
    <w:unhideWhenUsed/>
    <w:rsid w:val="00A47940"/>
    <w:pPr>
      <w:tabs>
        <w:tab w:val="center" w:pos="4419"/>
        <w:tab w:val="right" w:pos="8838"/>
      </w:tabs>
    </w:pPr>
  </w:style>
  <w:style w:type="character" w:customStyle="1" w:styleId="PiedepginaCar">
    <w:name w:val="Pie de página Car"/>
    <w:basedOn w:val="Fuentedeprrafopredeter"/>
    <w:link w:val="Piedepgina"/>
    <w:uiPriority w:val="99"/>
    <w:semiHidden/>
    <w:rsid w:val="00A47940"/>
  </w:style>
  <w:style w:type="character" w:styleId="nfasis">
    <w:name w:val="Emphasis"/>
    <w:basedOn w:val="Fuentedeprrafopredeter"/>
    <w:uiPriority w:val="20"/>
    <w:qFormat/>
    <w:rsid w:val="00D07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E285-9406-4E5B-BB86-588215EE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2152</Words>
  <Characters>11840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PC-D-ATRAS</dc:creator>
  <cp:lastModifiedBy>hlrter.un@gmail.com</cp:lastModifiedBy>
  <cp:revision>2</cp:revision>
  <cp:lastPrinted>2017-05-18T23:51:00Z</cp:lastPrinted>
  <dcterms:created xsi:type="dcterms:W3CDTF">2017-06-07T01:43:00Z</dcterms:created>
  <dcterms:modified xsi:type="dcterms:W3CDTF">2017-06-07T01:43:00Z</dcterms:modified>
</cp:coreProperties>
</file>